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List-Accent5"/>
        <w:tblpPr w:leftFromText="180" w:rightFromText="180" w:vertAnchor="text" w:horzAnchor="margin" w:tblpY="976"/>
        <w:tblW w:w="8897" w:type="dxa"/>
        <w:tblBorders>
          <w:insideH w:val="single" w:sz="2" w:space="0" w:color="auto"/>
        </w:tblBorders>
        <w:tblLayout w:type="fixed"/>
        <w:tblLook w:val="04A0"/>
      </w:tblPr>
      <w:tblGrid>
        <w:gridCol w:w="1809"/>
        <w:gridCol w:w="1276"/>
        <w:gridCol w:w="284"/>
        <w:gridCol w:w="1134"/>
        <w:gridCol w:w="708"/>
        <w:gridCol w:w="850"/>
        <w:gridCol w:w="709"/>
        <w:gridCol w:w="709"/>
        <w:gridCol w:w="709"/>
        <w:gridCol w:w="709"/>
      </w:tblGrid>
      <w:tr w:rsidR="007D3F5A" w:rsidRPr="0006501A" w:rsidTr="007D3F5A">
        <w:trPr>
          <w:cnfStyle w:val="100000000000"/>
          <w:trHeight w:val="283"/>
        </w:trPr>
        <w:tc>
          <w:tcPr>
            <w:cnfStyle w:val="001000000000"/>
            <w:tcW w:w="889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F5A" w:rsidRPr="007D3F5A" w:rsidRDefault="007D3F5A" w:rsidP="007D3F5A">
            <w:pPr>
              <w:numPr>
                <w:ilvl w:val="0"/>
                <w:numId w:val="0"/>
              </w:numPr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</w:pPr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Fold change distribution of differentially expressed genes ≥ 2 fold (p-value ≤0.05) from Microarray and RNA-</w:t>
            </w:r>
            <w:proofErr w:type="spellStart"/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seq</w:t>
            </w:r>
            <w:proofErr w:type="spellEnd"/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 xml:space="preserve"> analysis. </w:t>
            </w:r>
            <w:r w:rsidRPr="007D3F5A">
              <w:rPr>
                <w:rFonts w:cs="Arial"/>
                <w:sz w:val="20"/>
                <w:szCs w:val="20"/>
                <w:lang w:val="en-IE"/>
              </w:rPr>
              <w:t xml:space="preserve"> </w:t>
            </w:r>
          </w:p>
        </w:tc>
      </w:tr>
      <w:tr w:rsidR="007D3F5A" w:rsidRPr="0006501A" w:rsidTr="007D3F5A">
        <w:trPr>
          <w:cnfStyle w:val="000000100000"/>
          <w:trHeight w:val="312"/>
        </w:trPr>
        <w:tc>
          <w:tcPr>
            <w:cnfStyle w:val="001000000000"/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rPr>
                <w:rFonts w:cs="Arial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cnfStyle w:val="000000100000"/>
              <w:rPr>
                <w:rFonts w:cs="Arial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b/>
                <w:bCs/>
                <w:sz w:val="20"/>
                <w:szCs w:val="20"/>
                <w:lang w:val="en-IE"/>
              </w:rPr>
              <w:t>Platform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D3F5A" w:rsidRPr="0006501A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b/>
                <w:bCs/>
                <w:sz w:val="24"/>
                <w:szCs w:val="24"/>
                <w:lang w:val="en-IE"/>
              </w:rPr>
            </w:pPr>
            <w:r w:rsidRPr="0006501A">
              <w:rPr>
                <w:rFonts w:cs="Arial"/>
                <w:b/>
                <w:bCs/>
                <w:sz w:val="24"/>
                <w:szCs w:val="24"/>
                <w:lang w:val="en-IE"/>
              </w:rPr>
              <w:t>Fold Change</w:t>
            </w:r>
          </w:p>
        </w:tc>
      </w:tr>
      <w:tr w:rsidR="007D3F5A" w:rsidRPr="0006501A" w:rsidTr="007D3F5A">
        <w:trPr>
          <w:trHeight w:val="312"/>
        </w:trPr>
        <w:tc>
          <w:tcPr>
            <w:cnfStyle w:val="001000000000"/>
            <w:tcW w:w="1809" w:type="dxa"/>
            <w:vMerge/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rPr>
                <w:rFonts w:cs="Arial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D3F5A" w:rsidRPr="0006501A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b/>
                <w:bCs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# Not determined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≥100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100≤50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50≤25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25≤10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10≤5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5≤2</w:t>
            </w:r>
          </w:p>
        </w:tc>
      </w:tr>
      <w:tr w:rsidR="007D3F5A" w:rsidRPr="0006501A" w:rsidTr="007D3F5A">
        <w:trPr>
          <w:cnfStyle w:val="000000100000"/>
          <w:trHeight w:val="340"/>
        </w:trPr>
        <w:tc>
          <w:tcPr>
            <w:cnfStyle w:val="001000000000"/>
            <w:tcW w:w="1809" w:type="dxa"/>
            <w:vMerge w:val="restart"/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rPr>
                <w:rFonts w:cs="Arial"/>
                <w:b w:val="0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b w:val="0"/>
                <w:sz w:val="20"/>
                <w:szCs w:val="20"/>
                <w:lang w:val="en-IE"/>
              </w:rPr>
              <w:t xml:space="preserve">Up-regulated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cnfStyle w:val="000000100000"/>
              <w:rPr>
                <w:rFonts w:cs="Arial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sz w:val="20"/>
                <w:szCs w:val="20"/>
                <w:lang w:val="en-IE"/>
              </w:rPr>
              <w:t xml:space="preserve">Microarray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4A442A" w:themeFill="background2" w:themeFillShade="40"/>
          </w:tcPr>
          <w:p w:rsidR="007D3F5A" w:rsidRPr="0006501A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83</w:t>
            </w:r>
          </w:p>
        </w:tc>
      </w:tr>
      <w:tr w:rsidR="007D3F5A" w:rsidRPr="0006501A" w:rsidTr="007D3F5A">
        <w:trPr>
          <w:trHeight w:val="340"/>
        </w:trPr>
        <w:tc>
          <w:tcPr>
            <w:cnfStyle w:val="001000000000"/>
            <w:tcW w:w="1809" w:type="dxa"/>
            <w:vMerge/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rPr>
                <w:rFonts w:cs="Arial"/>
                <w:b w:val="0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cnfStyle w:val="000000000000"/>
              <w:rPr>
                <w:rFonts w:cs="Arial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sz w:val="20"/>
                <w:szCs w:val="20"/>
                <w:lang w:val="en-IE"/>
              </w:rPr>
              <w:t>RNA-</w:t>
            </w:r>
            <w:proofErr w:type="spellStart"/>
            <w:r w:rsidRPr="005D06C0">
              <w:rPr>
                <w:rFonts w:cs="Arial"/>
                <w:sz w:val="20"/>
                <w:szCs w:val="20"/>
                <w:lang w:val="en-IE"/>
              </w:rPr>
              <w:t>seq</w:t>
            </w:r>
            <w:proofErr w:type="spellEnd"/>
            <w:r w:rsidRPr="005D06C0">
              <w:rPr>
                <w:rFonts w:cs="Arial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7D3F5A" w:rsidRPr="0006501A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373</w:t>
            </w:r>
          </w:p>
        </w:tc>
      </w:tr>
      <w:tr w:rsidR="007D3F5A" w:rsidRPr="0006501A" w:rsidTr="007D3F5A">
        <w:trPr>
          <w:cnfStyle w:val="000000100000"/>
          <w:trHeight w:val="340"/>
        </w:trPr>
        <w:tc>
          <w:tcPr>
            <w:cnfStyle w:val="001000000000"/>
            <w:tcW w:w="1809" w:type="dxa"/>
            <w:vMerge w:val="restart"/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rPr>
                <w:rFonts w:cs="Arial"/>
                <w:b w:val="0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b w:val="0"/>
                <w:sz w:val="20"/>
                <w:szCs w:val="20"/>
                <w:lang w:val="en-IE"/>
              </w:rPr>
              <w:t xml:space="preserve">Down-regulated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cnfStyle w:val="000000100000"/>
              <w:rPr>
                <w:rFonts w:cs="Arial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sz w:val="20"/>
                <w:szCs w:val="20"/>
                <w:lang w:val="en-IE"/>
              </w:rPr>
              <w:t>Microarray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4A442A" w:themeFill="background2" w:themeFillShade="40"/>
          </w:tcPr>
          <w:p w:rsidR="007D3F5A" w:rsidRPr="0006501A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108</w:t>
            </w:r>
          </w:p>
        </w:tc>
      </w:tr>
      <w:tr w:rsidR="007D3F5A" w:rsidRPr="0006501A" w:rsidTr="007D3F5A">
        <w:trPr>
          <w:trHeight w:val="340"/>
        </w:trPr>
        <w:tc>
          <w:tcPr>
            <w:cnfStyle w:val="001000000000"/>
            <w:tcW w:w="1809" w:type="dxa"/>
            <w:vMerge/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rPr>
                <w:rFonts w:cs="Arial"/>
                <w:b w:val="0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cnfStyle w:val="000000000000"/>
              <w:rPr>
                <w:rFonts w:cs="Arial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sz w:val="20"/>
                <w:szCs w:val="20"/>
                <w:lang w:val="en-IE"/>
              </w:rPr>
              <w:t>RNA-</w:t>
            </w:r>
            <w:proofErr w:type="spellStart"/>
            <w:r w:rsidRPr="005D06C0">
              <w:rPr>
                <w:rFonts w:cs="Arial"/>
                <w:sz w:val="20"/>
                <w:szCs w:val="20"/>
                <w:lang w:val="en-IE"/>
              </w:rPr>
              <w:t>seq</w:t>
            </w:r>
            <w:proofErr w:type="spellEnd"/>
            <w:r w:rsidRPr="005D06C0">
              <w:rPr>
                <w:rFonts w:cs="Arial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:rsidR="007D3F5A" w:rsidRPr="0006501A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23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57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59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80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84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sz w:val="16"/>
                <w:szCs w:val="16"/>
                <w:lang w:val="en-IE"/>
              </w:rPr>
              <w:t>298</w:t>
            </w:r>
          </w:p>
        </w:tc>
      </w:tr>
      <w:tr w:rsidR="007D3F5A" w:rsidRPr="0006501A" w:rsidTr="007D3F5A">
        <w:trPr>
          <w:cnfStyle w:val="000000100000"/>
          <w:trHeight w:val="340"/>
        </w:trPr>
        <w:tc>
          <w:tcPr>
            <w:cnfStyle w:val="001000000000"/>
            <w:tcW w:w="1809" w:type="dxa"/>
            <w:vMerge w:val="restart"/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rPr>
                <w:rFonts w:cs="Arial"/>
                <w:b w:val="0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b w:val="0"/>
                <w:sz w:val="20"/>
                <w:szCs w:val="20"/>
                <w:lang w:val="en-IE"/>
              </w:rPr>
              <w:t xml:space="preserve">Total differentially expressed genes 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cnfStyle w:val="000000100000"/>
              <w:rPr>
                <w:rFonts w:cs="Arial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b/>
                <w:bCs/>
                <w:sz w:val="20"/>
                <w:szCs w:val="20"/>
                <w:lang w:val="en-IE"/>
              </w:rPr>
              <w:t>Microarray</w:t>
            </w: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D3F5A" w:rsidRPr="0006501A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b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sz w:val="16"/>
                <w:szCs w:val="16"/>
                <w:lang w:val="en-IE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74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1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192</w:t>
            </w:r>
          </w:p>
        </w:tc>
      </w:tr>
      <w:tr w:rsidR="007D3F5A" w:rsidRPr="0006501A" w:rsidTr="007D3F5A">
        <w:trPr>
          <w:trHeight w:val="340"/>
        </w:trPr>
        <w:tc>
          <w:tcPr>
            <w:cnfStyle w:val="001000000000"/>
            <w:tcW w:w="1809" w:type="dxa"/>
            <w:vMerge/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rPr>
                <w:rFonts w:cs="Arial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left"/>
              <w:cnfStyle w:val="000000000000"/>
              <w:rPr>
                <w:rFonts w:cs="Arial"/>
                <w:sz w:val="20"/>
                <w:szCs w:val="20"/>
                <w:lang w:val="en-IE"/>
              </w:rPr>
            </w:pPr>
            <w:r w:rsidRPr="005D06C0">
              <w:rPr>
                <w:rFonts w:cs="Arial"/>
                <w:b/>
                <w:bCs/>
                <w:sz w:val="20"/>
                <w:szCs w:val="20"/>
                <w:lang w:val="en-IE"/>
              </w:rPr>
              <w:t>RNA-</w:t>
            </w:r>
            <w:proofErr w:type="spellStart"/>
            <w:r w:rsidRPr="005D06C0">
              <w:rPr>
                <w:rFonts w:cs="Arial"/>
                <w:b/>
                <w:bCs/>
                <w:sz w:val="20"/>
                <w:szCs w:val="20"/>
                <w:lang w:val="en-IE"/>
              </w:rPr>
              <w:t>seq</w:t>
            </w:r>
            <w:proofErr w:type="spellEnd"/>
            <w:r w:rsidRPr="005D06C0">
              <w:rPr>
                <w:rFonts w:cs="Arial"/>
                <w:b/>
                <w:bCs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D3F5A" w:rsidRPr="0006501A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42</w:t>
            </w:r>
            <w:r w:rsidRPr="005D06C0">
              <w:rPr>
                <w:rFonts w:cs="Arial"/>
                <w:b/>
                <w:bCs/>
                <w:sz w:val="16"/>
                <w:szCs w:val="16"/>
                <w:vertAlign w:val="superscript"/>
                <w:lang w:val="en-IE"/>
              </w:rPr>
              <w:t>#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119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F5A" w:rsidRPr="005D06C0" w:rsidRDefault="007D3F5A" w:rsidP="007D3F5A">
            <w:pPr>
              <w:pStyle w:val="Normal2"/>
              <w:spacing w:after="0" w:line="240" w:lineRule="auto"/>
              <w:jc w:val="center"/>
              <w:cnfStyle w:val="000000000000"/>
              <w:rPr>
                <w:rFonts w:cs="Arial"/>
                <w:sz w:val="16"/>
                <w:szCs w:val="16"/>
                <w:lang w:val="en-IE"/>
              </w:rPr>
            </w:pPr>
            <w:r w:rsidRPr="005D06C0">
              <w:rPr>
                <w:rFonts w:cs="Arial"/>
                <w:b/>
                <w:bCs/>
                <w:sz w:val="16"/>
                <w:szCs w:val="16"/>
                <w:lang w:val="en-IE"/>
              </w:rPr>
              <w:t>671</w:t>
            </w:r>
          </w:p>
        </w:tc>
      </w:tr>
      <w:tr w:rsidR="007D3F5A" w:rsidRPr="0006501A" w:rsidTr="007D3F5A">
        <w:trPr>
          <w:cnfStyle w:val="000000100000"/>
          <w:trHeight w:val="283"/>
        </w:trPr>
        <w:tc>
          <w:tcPr>
            <w:cnfStyle w:val="001000000000"/>
            <w:tcW w:w="8897" w:type="dxa"/>
            <w:gridSpan w:val="10"/>
            <w:shd w:val="clear" w:color="auto" w:fill="auto"/>
          </w:tcPr>
          <w:p w:rsidR="007D3F5A" w:rsidRDefault="007D3F5A" w:rsidP="007D3F5A">
            <w:pPr>
              <w:pStyle w:val="Normal2"/>
              <w:spacing w:after="0" w:line="240" w:lineRule="auto"/>
              <w:jc w:val="right"/>
              <w:rPr>
                <w:rFonts w:cs="Arial"/>
                <w:b w:val="0"/>
                <w:sz w:val="16"/>
                <w:szCs w:val="16"/>
                <w:lang w:val="en-IE"/>
              </w:rPr>
            </w:pPr>
            <w:r w:rsidRPr="0006501A">
              <w:rPr>
                <w:rFonts w:cs="Arial"/>
                <w:b w:val="0"/>
                <w:sz w:val="24"/>
                <w:szCs w:val="24"/>
                <w:vertAlign w:val="superscript"/>
                <w:lang w:val="en-IE"/>
              </w:rPr>
              <w:t>#</w:t>
            </w:r>
            <w:r w:rsidRPr="0006501A">
              <w:rPr>
                <w:rFonts w:cs="Arial"/>
                <w:b w:val="0"/>
                <w:sz w:val="16"/>
                <w:szCs w:val="16"/>
                <w:lang w:val="en-IE"/>
              </w:rPr>
              <w:t>Not determined as no expression in the control so the precise fold change cannot be assigned</w:t>
            </w:r>
          </w:p>
          <w:p w:rsidR="007D3F5A" w:rsidRDefault="007D3F5A" w:rsidP="007D3F5A">
            <w:pPr>
              <w:numPr>
                <w:ilvl w:val="0"/>
                <w:numId w:val="0"/>
              </w:numPr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</w:pPr>
          </w:p>
          <w:p w:rsidR="007D3F5A" w:rsidRPr="007D3F5A" w:rsidRDefault="007D3F5A" w:rsidP="007D3F5A">
            <w:pPr>
              <w:numPr>
                <w:ilvl w:val="0"/>
                <w:numId w:val="0"/>
              </w:numPr>
              <w:rPr>
                <w:lang w:val="en-IE"/>
              </w:rPr>
            </w:pPr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 xml:space="preserve">Note that 25 DE genes (2 up-regulated and 23 down-regulated) detected by </w:t>
            </w:r>
            <w:proofErr w:type="spellStart"/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RNAseq</w:t>
            </w:r>
            <w:proofErr w:type="spellEnd"/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 xml:space="preserve"> could not be assigned a numerical fold change value because no reads were mapped in one of the sets of samples. The up-regulated genes 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from both the M</w:t>
            </w:r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icroarray and RNA-</w:t>
            </w:r>
            <w:proofErr w:type="spellStart"/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seq</w:t>
            </w:r>
            <w:proofErr w:type="spellEnd"/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 xml:space="preserve"> showed a reduced degree of alteration compared to down-regulated genes. In each of the categories between 50 and 5 fold change, there is a similar proportion of total differentially expressed genes with both platforms, however this is disturbed in the lowest fold change category of 5≤2, with the microarray representing 192 genes but the RNA-</w:t>
            </w:r>
            <w:proofErr w:type="spellStart"/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seq</w:t>
            </w:r>
            <w:proofErr w:type="spellEnd"/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 xml:space="preserve"> totalling 671. </w:t>
            </w:r>
            <w:r w:rsidRPr="007D3F5A">
              <w:rPr>
                <w:rFonts w:eastAsia="BatangChe" w:cs="Arial"/>
                <w:b w:val="0"/>
                <w:color w:val="auto"/>
                <w:sz w:val="20"/>
                <w:szCs w:val="20"/>
                <w:lang w:val="en-IE"/>
              </w:rPr>
              <w:t>This increase in gene number specifically close to the lower cut off point, again indicates that the RNA-</w:t>
            </w:r>
            <w:proofErr w:type="spellStart"/>
            <w:r w:rsidRPr="007D3F5A">
              <w:rPr>
                <w:rFonts w:eastAsia="BatangChe" w:cs="Arial"/>
                <w:b w:val="0"/>
                <w:color w:val="auto"/>
                <w:sz w:val="20"/>
                <w:szCs w:val="20"/>
                <w:lang w:val="en-IE"/>
              </w:rPr>
              <w:t>seq</w:t>
            </w:r>
            <w:proofErr w:type="spellEnd"/>
            <w:r w:rsidRPr="007D3F5A">
              <w:rPr>
                <w:rFonts w:eastAsia="BatangChe" w:cs="Arial"/>
                <w:b w:val="0"/>
                <w:color w:val="auto"/>
                <w:sz w:val="20"/>
                <w:szCs w:val="20"/>
                <w:lang w:val="en-IE"/>
              </w:rPr>
              <w:t xml:space="preserve"> platform was more sensitive in identifying significantly DE genes. There is again further support for this if the criteria for selection of differential expression are relaxed for the microarray data; using a corrected p-value of ≤0.08 and fold change ≥ 2, the total number of genes with a fold change </w:t>
            </w:r>
            <w:r w:rsidRPr="007D3F5A"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5≤2 increases to 331 from 192 (not shown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en-IE"/>
              </w:rPr>
              <w:t>).</w:t>
            </w:r>
          </w:p>
        </w:tc>
      </w:tr>
    </w:tbl>
    <w:p w:rsidR="008813B0" w:rsidRDefault="0044562C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  <w:r w:rsidRPr="0019758B">
        <w:rPr>
          <w:rFonts w:ascii="Times New Roman" w:hAnsi="Times New Roman"/>
          <w:sz w:val="24"/>
          <w:szCs w:val="24"/>
          <w:lang w:val="en-IE"/>
        </w:rPr>
        <w:t>Supplementary Data</w:t>
      </w:r>
      <w:r w:rsidR="007D3F5A">
        <w:rPr>
          <w:rFonts w:ascii="Times New Roman" w:hAnsi="Times New Roman"/>
          <w:sz w:val="24"/>
          <w:szCs w:val="24"/>
          <w:lang w:val="en-IE"/>
        </w:rPr>
        <w:t xml:space="preserve"> Table 1</w:t>
      </w:r>
    </w:p>
    <w:p w:rsidR="007D3F5A" w:rsidRDefault="007D3F5A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D3F5A" w:rsidRPr="0019758B" w:rsidRDefault="007D3F5A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D3F5A" w:rsidRDefault="007D3F5A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D3F5A" w:rsidRDefault="007D3F5A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D3F5A" w:rsidRDefault="007D3F5A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D3F5A" w:rsidRDefault="007D3F5A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D3F5A" w:rsidRDefault="007D3F5A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5D06C0" w:rsidRPr="0019758B" w:rsidRDefault="005D06C0" w:rsidP="007D3F5A">
      <w:pPr>
        <w:pStyle w:val="Normal2"/>
        <w:rPr>
          <w:rFonts w:ascii="Times New Roman" w:hAnsi="Times New Roman"/>
          <w:sz w:val="24"/>
          <w:szCs w:val="24"/>
          <w:lang w:val="en-IE"/>
        </w:rPr>
      </w:pPr>
      <w:r w:rsidRPr="0019758B">
        <w:rPr>
          <w:rFonts w:ascii="Times New Roman" w:hAnsi="Times New Roman"/>
          <w:sz w:val="24"/>
          <w:szCs w:val="24"/>
          <w:lang w:val="en-IE"/>
        </w:rPr>
        <w:lastRenderedPageBreak/>
        <w:t xml:space="preserve">Supplementary </w:t>
      </w:r>
      <w:r w:rsidR="007776D9" w:rsidRPr="0019758B">
        <w:rPr>
          <w:rFonts w:ascii="Times New Roman" w:hAnsi="Times New Roman"/>
          <w:sz w:val="24"/>
          <w:szCs w:val="24"/>
          <w:lang w:val="en-IE"/>
        </w:rPr>
        <w:t xml:space="preserve">Date Table </w:t>
      </w:r>
      <w:r w:rsidR="007D3F5A">
        <w:rPr>
          <w:rFonts w:ascii="Times New Roman" w:hAnsi="Times New Roman"/>
          <w:sz w:val="24"/>
          <w:szCs w:val="24"/>
          <w:lang w:val="en-IE"/>
        </w:rPr>
        <w:t xml:space="preserve">2:  List of all DE down-regulated genes and fold change estimated by Microarray and RNA-seq. </w:t>
      </w:r>
    </w:p>
    <w:tbl>
      <w:tblPr>
        <w:tblW w:w="6267" w:type="dxa"/>
        <w:tblInd w:w="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90"/>
        <w:gridCol w:w="425"/>
        <w:gridCol w:w="992"/>
        <w:gridCol w:w="1276"/>
        <w:gridCol w:w="992"/>
        <w:gridCol w:w="992"/>
      </w:tblGrid>
      <w:tr w:rsidR="00FC7CB0" w:rsidRPr="0019758B" w:rsidTr="00FC7CB0">
        <w:trPr>
          <w:trHeight w:val="901"/>
        </w:trPr>
        <w:tc>
          <w:tcPr>
            <w:tcW w:w="1590" w:type="dxa"/>
            <w:vMerge w:val="restart"/>
            <w:vAlign w:val="center"/>
          </w:tcPr>
          <w:p w:rsidR="00FC7CB0" w:rsidRPr="00FC7CB0" w:rsidRDefault="00FC7CB0" w:rsidP="00FC7CB0">
            <w:pPr>
              <w:autoSpaceDE w:val="0"/>
              <w:autoSpaceDN w:val="0"/>
              <w:adjustRightInd w:val="0"/>
              <w:ind w:left="0"/>
              <w:jc w:val="left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>Gene id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7CB0" w:rsidRPr="0019758B" w:rsidRDefault="00FC7CB0" w:rsidP="00A200B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  <w:t>Mesenchyme</w:t>
            </w:r>
            <w:proofErr w:type="spellEnd"/>
            <w:r w:rsidRPr="0019758B"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  <w:t xml:space="preserve"> enriched ≥3 fold</w:t>
            </w:r>
          </w:p>
        </w:tc>
        <w:tc>
          <w:tcPr>
            <w:tcW w:w="2268" w:type="dxa"/>
            <w:gridSpan w:val="2"/>
            <w:vAlign w:val="center"/>
          </w:tcPr>
          <w:p w:rsidR="00FC7CB0" w:rsidRPr="00FC7CB0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>RNA sequencing</w:t>
            </w:r>
          </w:p>
          <w:p w:rsidR="00FC7CB0" w:rsidRPr="00FC7CB0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 xml:space="preserve"> Down-regulated</w:t>
            </w:r>
          </w:p>
        </w:tc>
        <w:tc>
          <w:tcPr>
            <w:tcW w:w="1984" w:type="dxa"/>
            <w:gridSpan w:val="2"/>
            <w:vAlign w:val="center"/>
          </w:tcPr>
          <w:p w:rsidR="00FC7CB0" w:rsidRPr="00FC7CB0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>Microarray</w:t>
            </w:r>
          </w:p>
          <w:p w:rsidR="00FC7CB0" w:rsidRPr="00FC7CB0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 xml:space="preserve"> Down-regulated</w:t>
            </w:r>
          </w:p>
        </w:tc>
      </w:tr>
      <w:tr w:rsidR="00FC7CB0" w:rsidRPr="0019758B" w:rsidTr="00FC7CB0">
        <w:trPr>
          <w:trHeight w:val="545"/>
        </w:trPr>
        <w:tc>
          <w:tcPr>
            <w:tcW w:w="1590" w:type="dxa"/>
            <w:vMerge/>
            <w:vAlign w:val="bottom"/>
          </w:tcPr>
          <w:p w:rsidR="00FC7CB0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425" w:type="dxa"/>
            <w:vMerge/>
            <w:vAlign w:val="center"/>
          </w:tcPr>
          <w:p w:rsidR="00FC7CB0" w:rsidRPr="0019758B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center"/>
          </w:tcPr>
          <w:p w:rsidR="00FC7CB0" w:rsidRPr="0019758B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  <w:t>Fold Change</w:t>
            </w:r>
          </w:p>
        </w:tc>
        <w:tc>
          <w:tcPr>
            <w:tcW w:w="1276" w:type="dxa"/>
            <w:vAlign w:val="center"/>
          </w:tcPr>
          <w:p w:rsidR="00FC7CB0" w:rsidRPr="0019758B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  <w:t>p-value</w:t>
            </w:r>
          </w:p>
        </w:tc>
        <w:tc>
          <w:tcPr>
            <w:tcW w:w="992" w:type="dxa"/>
            <w:vAlign w:val="center"/>
          </w:tcPr>
          <w:p w:rsidR="00FC7CB0" w:rsidRPr="0019758B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  <w:t>Fold Change</w:t>
            </w:r>
          </w:p>
        </w:tc>
        <w:tc>
          <w:tcPr>
            <w:tcW w:w="992" w:type="dxa"/>
            <w:vAlign w:val="center"/>
          </w:tcPr>
          <w:p w:rsidR="00FC7CB0" w:rsidRPr="0019758B" w:rsidRDefault="00FC7CB0" w:rsidP="001975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b/>
                <w:bCs/>
                <w:color w:val="000000"/>
                <w:sz w:val="16"/>
                <w:szCs w:val="16"/>
                <w:lang w:val="en-IE" w:eastAsia="en-IE"/>
              </w:rPr>
              <w:t>p-value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Fgf4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 w:rsidR="00FC7CB0">
              <w:rPr>
                <w:rStyle w:val="FootnoteReference"/>
                <w:rFonts w:cs="Arial"/>
                <w:color w:val="000000"/>
                <w:sz w:val="16"/>
                <w:szCs w:val="16"/>
                <w:lang w:val="en-IE" w:eastAsia="en-IE"/>
              </w:rPr>
              <w:footnoteReference w:id="1"/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0.000638844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41.054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0.00008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Tmem184a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FC7CB0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 w:rsidR="00FC7CB0"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5.25E-06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13.264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0.04677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Mep1a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0.010348707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10.561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Dysfip1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1.33E-07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0.01802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Fgf6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1.11E-11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3.175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0.04425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2310050B05Rik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4.13E-06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2900079G21Rik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4.76E-07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Acpt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0.045689548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Cym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0.041456515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Foxd4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Havcr1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5.89E-06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Lmod2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2.49E-06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Mir23b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0.021403052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Pnmt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0.012794292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Prame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FC7CB0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##</w:t>
            </w:r>
            <w:r w:rsidR="00FC7CB0"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Ros1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0.023630339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Scn10a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0.008723248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Snai3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0.000979848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Stoml3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0.036230472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Tekt5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0.026716473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Tmsb15a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0.030048338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Ucp3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IE" w:eastAsia="en-IE"/>
              </w:rPr>
              <w:t>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0.031453558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Yipf7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#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0.000163307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A930003A15Rik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231.055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0.000287109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18.655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0.00782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Dbx1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179.594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5.29E-38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40.147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Arx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158.132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0.00153276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Mybph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148.831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4.60E-07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124.692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0.02395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Hspb3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146.551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4.60E-06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Myf6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146.233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6.78E-06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Gjd4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141.023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39.542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Myf5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131.785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7.62E-20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Adprhl1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128.451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6.578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Sgcg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125.637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3.95E-06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115.450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Chrnd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113.472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1.39E-10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Myh7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108.322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4.98E-11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Tnnc1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107.742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7.70E-07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87.484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0.02563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Lbx1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106.407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7.20E-12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11.171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0.01639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Tmem8c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103.616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1.46E-07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17.556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Tceal7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100.473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1110059M19Rik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99.975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3.20E-05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Myoz2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99.334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3.09E-06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Trim55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99.055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8.55E-08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Vgll2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98.294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1.39E-13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49.049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Ankrd1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97.739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1.02E-06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75.139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0.00302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Cox8b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97.681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0.001255014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Csrp3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96.892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1.21E-06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Actn2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96.575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2.69E-07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Chrng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96.232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9.54E-07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12.159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Popdc3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94.586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0.000172639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0.02212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Cacng1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90.866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4.19E-07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32.059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0.04062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Mstn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90.078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4.12E-19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50.047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Hfe2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87.940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2.07E-06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50.875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0.01598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Smyd1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87.679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3.17E-09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13.318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0.02829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Myh3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87.097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3.27E-10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85.959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2.39E-05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Xirp1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84.349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3.06E-05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5.065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Mylpf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82.738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26.582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0.01289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Actc1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81.479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3.62E-08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Trim72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80.325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5.71E-11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44.156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Tnnt1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80.285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1.40E-07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44.680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0.02166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Kbtbd5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77.398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5.15E-08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55.169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0.02044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Casq2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76.168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7.56E-05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Lmod3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75.222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6.12E-06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32.640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0.02212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Tnnc2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74.725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1.91E-06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73.707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7.16E-06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35.531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0.01765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Pax7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73.024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2.51E-74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23.660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Ttn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72.937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1.86E-08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50.449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0.00834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Fitm1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72.173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1.34E-09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33.058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0.03818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71.771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5.57E-17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45.123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0.00670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Tnnt2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69.284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3.10E-06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Trdn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68.649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1.40E-07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54.363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0.03187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Atp1b4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67.690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Best3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67.237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6.34E-09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16.822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Il17b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66.180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0.000185033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Acta1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65.851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9.80E-05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Mir133b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65.716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0.000606002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Cox6a2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65.555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0.00048648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Ankrd2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65.349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0.002450587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Trim54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64.915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5.93E-05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33.576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0.04568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Krt33b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64.867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0.001294308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16.038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0.01225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64.742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0.000253453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23.270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Myom2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64.557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1.96E-09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Lrrc30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63.825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9.24E-06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Myh7b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63.715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2.77E-11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76.442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0.04129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3425401B19Rik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62.341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4.16E-06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Myot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61.078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0.000103901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Kbtbd10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60.151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1.71E-08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79.742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Itgb1bp2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58.265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1.86E-05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Neb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57.041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1.22E-08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35.800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0.01163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Myl4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56.963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34.577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0.03079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Arpp21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56.688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4.24E-11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56.372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0.00958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Cacna1s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56.678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3.78E-07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58.404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0.03587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Chrna1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55.033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1.37E-09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76.917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Tigd4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54.824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0.000385919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53.537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2.55E-16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51.220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0.02105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Atp2a1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51.426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1.36E-06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9.285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Tcap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48.488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0.00016188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61.371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0.01317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Ldb3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48.169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3.41E-05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7.006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0.03013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C130080G10Rik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48.033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0.008148424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Mybpc1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47.960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5.21E-06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Alpk3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47.897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42.743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0.01598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Myo18b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47.329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1.16E-09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36.350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Ampd1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47.163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9.24E-05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Ripply1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46.845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0.020822695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Klhl31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46.120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7.67E-06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19.278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2310002L09Rik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46.103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1.07E-07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40.300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Tnni1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44.819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Trpv1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44.032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0.00103819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Atp13a5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43.397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4.89E-06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3.964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Ablim3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43.325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1.57E-08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21.901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0.01126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Pitx3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42.860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9.67E-14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18.771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Uts2r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42.751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9.28E-05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Ache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42.710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4.67E-06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27.920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0.02629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Gm889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42.435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0.002373688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Smpx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42.176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0.000413451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34.338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0.00399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Igfbp1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41.402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0.000458505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17.520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Myh8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40.847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4.51E-09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19.589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0.02510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Tnnt3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40.508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0.00018347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17.435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0.03668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Rapsn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39.898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1.21E-08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Gm7325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39.309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1.54E-08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48.412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Cyp2ab1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38.930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0.002350375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Hspb2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38.350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0.000109634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22.535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Srpk3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37.989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0.000171147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38.197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Kremen2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37.427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6.33E-07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17.221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Mypn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36.927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14.088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0.00327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Coro6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36.874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0.000398936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Sh3bgr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35.425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25.153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0.01735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Apobec2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35.312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0.00010877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58.828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0.03649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Obscn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35.116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4.00E-08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64.038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0.00789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Myl3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33.794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0.003700068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27.441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Cdh15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32.652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1.57E-12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22.649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Abra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31.900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0.005512519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Cacng6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31.804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0.000299637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Tmem182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31.716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0.004213734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Synpo2l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31.489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1.69E-07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31.361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0.007704493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22.295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0.01017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Sypl2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31.244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0.00080006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Rbm24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31.077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3.57E-10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22.326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0.00569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Scn3b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30.675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Cav3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30.120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0.000918982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22.934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Mybpc3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29.921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0.000673869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Ccnb3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29.525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Musk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29.129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1.84E-09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31.883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0.03444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Rgr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28.944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0.014988579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Mylk4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28.587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9.03E-06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14.918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Myom3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27.767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1.08E-07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14.330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0.03973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Ky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27.403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5.08E-07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9.045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0.02330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Dhrs7c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26.627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3.53E-05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22.417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0.02363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Mlc1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26.493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0.000342179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9.746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0.02166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Prkag3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26.251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0.000650341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Tmprss2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25.890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Tmod1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25.608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3.13E-06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24.435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0.03973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Otog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25.430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8.59E-09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Art1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25.144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7.18E-05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13.363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Ckm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25.090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0.001359396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Myoz1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24.844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0.000350615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18.794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Mylk2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24.679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0.00136607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2.852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0.04700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Alpk2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24.629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7.57E-09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Itgb6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24.278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3.85E-06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27.782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0.01388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Crhr2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24.268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0.004984818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Jsrp1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22.778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0.000314804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10.029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Tnni2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22.733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0.000708664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14.431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0.03055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Cblc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22.719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0.046710202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Ptx4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21.644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2.31E-17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Xirp2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20.984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3.73E-06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Lrtm1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20.551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0.000894063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Msc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20.402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3.53E-22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15.969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Stac3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20.398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5.43E-06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9.553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0.04044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Btbd17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20.223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7.70E-11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18.216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0.00738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Sgca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19.899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6.32E-05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13.827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0.01633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Grip2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19.683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0.000641698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Dok7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19.673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1.98E-10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15.493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0.01958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Klrb1c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19.361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0.034210789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Fhad1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19.117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0.000146456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13.893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Wdr16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18.658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0.020618305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35.858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Barx2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18.601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5.29E-23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Ckmt2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18.480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0.009086687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Des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18.470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3.71E-05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14.972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Mir133a-2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18.359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0.026213942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Marveld2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18.354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8.73E-07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9.939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Elovl3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18.044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4.46E-09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Slc44a3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17.993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9.50E-07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Murc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17.703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0.000725054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15.510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0.02212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Krt4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17.664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0.010105871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Ryr1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17.564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6.05E-11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11.484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Unc45b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17.298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4.20E-05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7.124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Rtn2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16.606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3.50E-05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14.053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Ccin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16.535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0.04105955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1500017E21Rik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16.501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4.58E-07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Zfp474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16.477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0.00741475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Gm5105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16.465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Fam159a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15.637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0.000139788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0.02207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Frmpd1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15.590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3.25E-19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Pgam2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15.539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0.00097618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19.873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Asb2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15.411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0.00025413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9.920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Duoxa1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15.409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0.001254674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4.989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0.03018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Casz1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15.171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1.55E-09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25.350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Gja3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15.158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0.031671581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15.117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12.371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0.02290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Myl6b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14.795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0.000124537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11.872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0.00503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Kcnc4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14.708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0.003835808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Klhl38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14.705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6.02E-06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Hhatl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14.547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0.001515536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0.03107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Popdc2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14.543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1.01E-07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Colq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13.793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0.000636245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6.168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0.04554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Kcnk13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13.454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Tpm2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13.435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0.000344311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2.302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Nrap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13.367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0.000125314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Chrnb1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13.347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7.600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0.01831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Myh6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13.294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0.000129867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8.711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0.01765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Slc25a18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13.092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0.000244044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P2rx5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12.746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3.43E-05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Capn3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12.740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0.000703589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8.047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0.01184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Gm572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12.481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0.030996655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Rai2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12.397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0.000190941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8.946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Rxrg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12.290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7.048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Scn4a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12.018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1.14E-11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Fsd2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11.845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0.005482517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Gal3st2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11.565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0.029992903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Sag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11.513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4.76E-05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Trim63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11.172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0.000444857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Arhgap36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11.080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0.007757438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Impg1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11.069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0.015160443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Ect2l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10.884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0.030198614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Cck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10.841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0.00024209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0.02336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Mustn1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10.824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7.41E-05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7.415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0.00682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Srl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10.785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0.000288666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12.709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Tppp3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10.647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1.63E-10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9.028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Stmn4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10.587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5.69E-17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8.410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0.03036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Thbs4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10.579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1.25E-57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Gjd2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10.558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0.007216651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Kbtbd12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10.438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0.013183456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16.975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0.02743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Sct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10.260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0.000351532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5.540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1600029D21Rik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10.104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0.0078423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0.01578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Slc6a13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10.021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0.004168164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Adam2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9.895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0.0211861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Cilp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9.760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5.73E-25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9.731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L3mbtl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9.449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0.032843435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Pygm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9.409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0.001093758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4.666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0.01341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Hspb1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9.199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0.001579204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6.302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0.01307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Fbxl22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9.195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0.000212027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13.370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0.00740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Mir3072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0.003198372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Akap6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8.846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0.000236632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Pdlim3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8.838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0.002436503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Odf3l1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8.787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0.001335064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Snora43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8.705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0.046050196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Myo5b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8.630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0.005148846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10.057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0.01194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Ntrk1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8.503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6.65E-05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Ctnna3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8.473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0.000724585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Folr4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8.420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0.000211253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Traf3ip3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8.344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0.003080134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4.674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0.00881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Gnb3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8.324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0.039793053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Cryab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8.192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0.000348192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5.632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Txlnb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8.106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0.000781947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7.191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Kcnc1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8.064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5.02E-06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Slc28a2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7.901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5.266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Spink5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7.880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0.000118872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0.04425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Rbm20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7.791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4.89E-34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Usp44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7.765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0.002121462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Crym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7.748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5.159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0.02207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Ablim2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7.636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0.005358528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Frem2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7.520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Calb2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7.442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0.00381292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Rrad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7.381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0.001844232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5.083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Art5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7.313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0.001876818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6.279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Mt3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7.302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0.00142808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Hspb7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7.054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0.04163647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Ppp1r3a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6.978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0.03150198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Synpo2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6.952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7.65E-06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Iqsec3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13.668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0.03218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Etv4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6.796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4.50E-13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Shc3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6.735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0.008690025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Dusp13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6.642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0.03234326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18.884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0.00894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Tceal6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6.638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0.010139096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Gatm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2.53E-05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Ufsp1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6.540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0.000987288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3.081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0.02563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Amtn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6.450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6.37E-17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Dusp27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6.311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0.001475933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3.935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0.01122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LOC100302688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6.256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0.006530937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Klhl30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6.212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0.003567934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0.01694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Rbfox1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0.004453688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Gpr83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6.152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3.21E-12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Kcnj11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6.133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0.020393335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Tecrl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6.093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1.22E-05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5.844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Slc18a1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4.951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0.03669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Acta2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6.045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0.00027772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0.04956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Enkur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5.975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0.000384266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6.86E-07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12.518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Islr2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5.955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6.65E-11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5.198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Mir25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0.041998686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Atp1a2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5.864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0.001075117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Htr2b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5.853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0.030107151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12.825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Cpa5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5.778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5.29E-06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Cecr2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5.750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6.03E-12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LOC100499420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5.739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0.00032585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Dnahc5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5.641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0.000310299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Dner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5.639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5.36E-07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Car3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5.611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0.000596286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Ramp1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0.040157864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Capn11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0.004820907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Tslp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5.485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3.92E-06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3.504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0.02683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Serpina3n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5.472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0.002075378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0.03903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Nes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5.461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2.95E-10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5.573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Ovgp1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0.006627217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Sync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5.86E-10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5.719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0.03516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AF366264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5.396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0.042800741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2310007A19Rik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5.350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0.003881734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Slc2a5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5.271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5.39E-08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Fgf8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5.254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0.015882792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Tuba4a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5.238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0.004065209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Smtnl2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5.180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9.01E-08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4.730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0.04271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Nol3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5.179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0.00243595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3.481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0.02908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Clcnka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5.177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0.007705476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Adssl1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5.123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0.022447771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4.378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F2rl1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5.106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3.92E-18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3.050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0.04447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ORF63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5.102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0.006766012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Fgf5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Cdk5r1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5.062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3.26E-18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3.930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Bex1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0.003064203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Ostn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4.996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0.032133165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Tspan33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4.983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8.36E-06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Rimbp3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4.972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0.020203059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Adora1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0.001180885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Zmynd17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4.939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0.000574852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Cap2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4.937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0.000200587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0.04786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Aifm3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4.912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0.000929811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Pitx2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4.874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0.000814308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Rasl10a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4.821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0.003305427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0.01373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Cd3g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0.041723914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Hpcal4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4.745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0.026598756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Casq1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4.735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0.033530375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3.068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Tas1r1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4.695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0.043219376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Gm11346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0.037549509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Rprm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4.615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0.014824336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Rit2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4.607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7.36E-06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4933436C20Rik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4.591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0.000815015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Snord99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4.571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0.001661383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Fgfr4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4.545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6.99E-23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3.231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0.00933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Sh2b2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6.59E-05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0.04328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Spon2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1.29E-09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5.173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Fam78a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4.482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0.001494111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0.00560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D930048N14Rik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4.426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0.009625517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Snord83b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0.046506713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Macrod1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0.002397058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Tnfsf13b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4.412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0.045710756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Ppp1r14c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4.402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0.004896588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Ddc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4.399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0.000150515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2.720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0.03347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Tmem88b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4.362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4.89E-10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Slc30a3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0.008431678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Adcyap1r1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4.332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9.57E-17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0.02974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Kcne1l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4.331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4932438H23Rik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0.045421555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Rgs16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4.318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4.08E-11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5930412G12Rik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4.264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0.011044667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Gpr120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4.171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0.035698806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Jph2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0.000156224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Tac1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4.139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Sept04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4.087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1.98E-06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A430110N23Rik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4.081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2.89E-27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Tex14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4.070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0.000570692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0.02023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Rragd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4.052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1700113I22Rik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0.000731808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2.601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Htra4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4.015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7.54E-07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Slc35f3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4.014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3.144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0.03983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Megf10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4.009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1.37E-24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Esrrb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0.000491894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0.01598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Zfp352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3.936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0.012205983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Fndc5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0.00050277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Gm1574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3.920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0.002391272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6.132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Pabpc1l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0.001062351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Insrr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3.891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0.000788901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Dmpk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3.877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0.00326029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0.02212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Tead4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3.03E-13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4.381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0.03649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Myo16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3.94E-08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Iffo1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3.837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0.000289585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2.640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0.01289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BY080835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3.826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0.016938161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Cnr1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3.818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1.52E-13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2.590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0.00399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Tll2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3.805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0.000121063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3.791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0.016388196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Sema6b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3.779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1.95E-07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Camk2a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3.776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0.000910514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Ppfia4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3.766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0.005944714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Camk2b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3.762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0.000587067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Pou3f1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3.761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7.85E-05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Fabp3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0.046045376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0.04425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Vgll3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3.743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7.18E-20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Trp63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0.024720208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Col19a1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3.629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6.57E-05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Snord65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3.628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0.049056944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6230400D17Rik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3.615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0.023809995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Dok5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3.607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0.021244085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Tmem38a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3.593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0.018014843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C4b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3.591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0.002928394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4.261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0.02829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Fzd10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3.577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0.021714725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Gpr37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3.571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0.00851303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3.684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0.02983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Jakmip3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3.569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0.023481256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6430562O15Rik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3.499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0.005665791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Spnb1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3.493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0.00122522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Lrrc39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0.018679961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Erbb3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3.457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1.10E-16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Cobl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0.010742417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20.443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0.03640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Coch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4.76E-07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0.03461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2900005J15Rik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3.402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0.029056216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Bcam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3.389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0.00124051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Prkcc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3.371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0.018418282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Hrc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0.004990099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3.130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Atp2b3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3.356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0.016922185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Arg1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3.355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0.017844783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Cdkn1a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3.317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0.000390277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Tnfrsf12a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3.305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Ntn5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3.299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0.003150271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Chodl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3.292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3.152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0.04328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Zfp238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3.284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4.78E-08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Gldc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3.263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0.000326193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Tmem116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3.253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0.017991955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Dpf3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0.032786354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Spry1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3.243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2.75E-18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Spry4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3.86E-18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Gmpr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0.026099494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0.02337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Trim17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0.04712073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Ccdc141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3.212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0.000148407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Cnnm1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3.211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7.19E-06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Myh1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3.185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0.013884554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D17H6S56E-3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3.172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0.032055615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Mip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3.168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0.013720797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Dll1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3.162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1.73E-06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0.03516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Snap91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3.162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0.007990301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Mir17hg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3.161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5.44E-05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Meg3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3.155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0.030983905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Jam2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0.036344194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3.594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0.03717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Unc5a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3.138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0.004421143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Plch1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3.137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1.23E-05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0.00920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Tnmd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3.134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6.59E-13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6330403A02Rik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3.126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0.000159805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Gprc5a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3.117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8.03E-05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Lhfpl1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4.10E-08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Rbm38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0.012501553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C1ql3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3.106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2.75E-08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Cited1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3.103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0.000277615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Hspb8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3.095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0.002956441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Prg4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3.046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1.52E-07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Snora34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3.038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0.049099265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Snord52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3.010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0.011579628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Nup210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3.006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1.07E-14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3.294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Cenpv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2.996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8.48E-06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Ambn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0.00160442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Snora16a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0.047384799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Dleu7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0.017802886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Kirrel2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0.047889124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Gpr20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2.955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8.98E-05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Itga4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9.97E-11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3.381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0.03359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Pde1c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2.946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3.42E-08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B3galt2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2.923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0.036346769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Snhg7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0.006088416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Palmd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2.902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0.023169218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2.901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0.043857363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Doc2g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0.04842582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Gcom1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2.896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0.005646488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Itga7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0.000684807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Pdlim1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1.45E-11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1810041L15Rik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2.820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0.002356183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Lrrn1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2.813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0.003220508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0.03397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Meox1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2.796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2.27E-11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Kcnj10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2.792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0.02273419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Mfsd2a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2.791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9.64E-06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Tm6sf1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2.783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0.023438649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2.571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0.01333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Bin1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2.782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0.000548241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0.04754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Prox1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1.75E-05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Pknox2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1.18E-08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Spry2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2.755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6.11E-14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Zic3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2.745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0.004207025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Frmd3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2.745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2.09E-05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Hbegf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2.741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0.000350767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Ankrd23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2.736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0.021544801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Shroom3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2.713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0.002091898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Tmem100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2.707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5.15E-10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Tubb6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2.693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0.001035104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Slco5a1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2.691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0.004377646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Eno3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2.687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0.034131718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Hes6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2.686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0.001946887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Col22a1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2.680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0.011807048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Dynlt1a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2.675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0.036885253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Nexn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2.652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0.014639095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Gm14492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2.634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0.011746406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Angptl7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2.632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0.012651786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Ehbp1l1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2.631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0.00150257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Sh2d5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0.044303872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Arhgdig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2.616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0.000649376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Rb1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2.614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0.000176926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0.00715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4933403O08Rik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2.604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0.016456786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2010204K13Rik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2.599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1.45E-05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Aknad1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0.003212914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Asb10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0.006471367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Il20rb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0.002114249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2210403K04Rik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2.577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0.011615356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Nptx1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2.577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0.000390855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Dok3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0.049938133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Lgi1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0.002611874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Vamp1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2.557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0.038815305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Glipr2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2.554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3.12E-13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Sim1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2.553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0.033426892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P2rx6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0.035400757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9.052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0.03973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Nnmt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0.005961276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0.04361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Dtx4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3.50E-12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Camkv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2.540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0.003666581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Tdrd1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2.534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Tnxb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2.528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1.10E-06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Ppp1r14b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2.526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0.000513015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Tchh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2.525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0.032617528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Sall1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0.009263167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Tbc1d8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1.81E-05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Chrm3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0.000313547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Prkcq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2.509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1.99E-06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2.254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0.01637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Plekhh1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2.500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3.68E-05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3.040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0.02140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2.495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3.07E-13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Mir3064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2.484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0.031260542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Hsd11b1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2.483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0.009085944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Cidea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2.475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0.016861321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Tnik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2.470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3.19E-09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E2f2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1.93E-10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Atcay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2.457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0.018944588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Aldh1a3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2.451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2.38E-08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Pdlim4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2.449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0.000822125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Scx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0.002779351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Ngfr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2.43E-08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Bves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2.436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0.018857391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Col20a1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2.432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1.37E-06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E330033B04Rik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2.427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0.039694776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Ankrd33b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0.03187479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Gamt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2.411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0.032919827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Tmem150c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2.410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0.000118831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Pip5k1b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2.406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0.003669955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Ttyh2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2.403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2.55E-10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0.02337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Ak1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2.391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0.047782606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Tppp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2.385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5.99E-05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Tceal5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0.002343191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Tubb2b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2.358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7.40E-08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Ckb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2.354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8.98E-06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Spg21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1.17E-10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Gja5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0.007499588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5330417C22Rik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0.041260172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9.153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0.02793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Dpep1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0.03652931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Tcf15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2.324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0.000893465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Adrb2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0.00525532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Met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1.49E-08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Hap1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2.305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0.00247612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Mycl1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2.300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Dpysl5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7.19E-07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Anxa8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0.013554134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Stk32a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0.018216663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Pla2g4c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0.023239176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Csdc2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0.036761566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Mir351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2.268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0.029594667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C2cd4c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2.267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0.040396409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En1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2.267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0.004580757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Flnc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2.256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0.000125003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Pdgfa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2.250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5.24E-08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0.03998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Shb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0.000601169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Il1f9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0.004353474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Nxph3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0.044254319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Il33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2.234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1.77E-05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Arc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2.221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0.027556014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2700023E23Rik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0.00489536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Atf3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7.60E-05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Lamb3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0.001980772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3.323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0.03781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Padi2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0.018492502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0.02337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Creld1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2.208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0.009965288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Kcnip4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2.204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0.000764541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Rtl1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2.204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0.023526084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Slc29a4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2.202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0.002415868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Dusp6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4.43E-09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Pls1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0.012618883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Prdm8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0.016649886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Cd44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1.40E-05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Epcam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0.005086962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Kera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0.000317803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Cfl2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0.001038403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Mical2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3.58E-07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0.01225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Rassf5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0.001317556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Dusp14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2.166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0.000189953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Egr2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0.000831611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Pvrl1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2.165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3.22E-05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Akap5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2.162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0.000550736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Tbx1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2.160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0.046476272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0.04139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Rab40b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0.000857314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Arhgap26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5.41E-07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0.04587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Magel2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0.000186304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Pkia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2.142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0.001160308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Snord47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0.008321211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6530418L21Rik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2.123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3.70E-07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Lfng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2.120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7.95E-06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Dbndd1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0.011743153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Adam1a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0.021037005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Ccdc134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0.003468266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1700094D03Rik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0.01745263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Tmem108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2.096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0.044938087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Sik1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2.093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0.004105596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Jag2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2.087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0.002065917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Htra3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2.077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6.80E-09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Dnaic2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2.076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0.049783398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Afap1l1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0.000727837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Qprt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0.008007932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Hn1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0.000326606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Sod3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2.036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0.045428703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Chrna4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2.035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5.32E-05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Aoc2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0.014517152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Chd7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5.11E-07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Shisa2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3.39E-08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Adamts20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8.50E-05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Spink2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2.021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0.0189441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Cdh4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2.014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1.27E-06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0.03107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Plat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7.79E-05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Arid5a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2.009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0.002451172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0.03347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Zfp185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2.008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2.97E-08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AW551984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0.047744733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Rasef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2.003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0.027683519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Gls2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2.000</w:t>
            </w: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0.010016291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4930512H18Rik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65.074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LOC100044755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38.678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0.04644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Myadml2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38.177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1110002E22Rik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35.846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2310015B20Rik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28.113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Dmd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18.652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0.03538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Itgb1bp3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11.834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0.02928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Klk1b26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11.326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Gm6880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9.406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0.01815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Gm2252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9.359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0.04924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Tpm3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8.967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Zfp407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8.496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0.00957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Cdhr3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8.408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0.02932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LOC100048513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8.000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0.04677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Lrrc14b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7.035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0.04063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Dbh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0.03985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Pdlim5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6.314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0.01225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Slc25a18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6.291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0.02880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LOC100047320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6.147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0.03107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Gadl1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6.107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Gckr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6.050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LOC669787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5.825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Smtnl1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5.458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0.01388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4933408N05Rik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0.03556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A2bp1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5.093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0.02044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Cldn3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5.040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Myh4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*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4.639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0.02445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Asph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4.464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Ms4a10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4.370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0.02212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Gm5091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4.180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Cela3b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3.977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0.03055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Tpm1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3.850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Serpina11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3.780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0.04081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Gm8617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3.770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0.04568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AA060545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3.592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0.04677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Erbb4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3.370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Kcnj12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3.220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0.03387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Prss46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3.155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Csn3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3.101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0.03075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Palm2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2.939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0.00399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Sept4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2.930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0.02751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4833419O12Rik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0.04676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4930429F24Rik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2.886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0.03856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4930511E03Rik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2.863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0.01289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Sirt7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2.862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0.03084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Fam169b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6720420G18Rik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2.715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0.04890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1700125H20Rik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2.560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0.04677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Atp2a2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2.485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4833415N18Rik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2.478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0.04328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LOC634496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2.397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0.04176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Has1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2.364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0.03442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Rhox5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2.361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0.02906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Speg</w:t>
            </w:r>
            <w:proofErr w:type="spellEnd"/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2.311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0.04918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Parm1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0.02212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C230098O21Rik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2.265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0.04554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AI314760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0.04843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Dusp8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2.145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0.02166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Dpysl3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2.139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0.04554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Celf1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2.127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0.02683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Ehd4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2.093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0.02629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Tmem100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2.089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4922502B01Rik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2.057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</w:t>
            </w:r>
          </w:p>
        </w:tc>
      </w:tr>
      <w:tr w:rsidR="0019758B" w:rsidRPr="0019758B" w:rsidTr="00FC7CB0">
        <w:trPr>
          <w:trHeight w:val="198"/>
        </w:trPr>
        <w:tc>
          <w:tcPr>
            <w:tcW w:w="1590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Abca8b</w:t>
            </w:r>
          </w:p>
        </w:tc>
        <w:tc>
          <w:tcPr>
            <w:tcW w:w="425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6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2.009</w:t>
            </w:r>
          </w:p>
        </w:tc>
        <w:tc>
          <w:tcPr>
            <w:tcW w:w="992" w:type="dxa"/>
            <w:vAlign w:val="bottom"/>
          </w:tcPr>
          <w:p w:rsidR="0019758B" w:rsidRPr="0019758B" w:rsidRDefault="0019758B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19758B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0.02974</w:t>
            </w:r>
          </w:p>
        </w:tc>
      </w:tr>
    </w:tbl>
    <w:p w:rsidR="00A054E6" w:rsidRDefault="00A054E6" w:rsidP="0019758B">
      <w:pPr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FC7CB0" w:rsidRDefault="00FC7CB0" w:rsidP="007776D9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D3F5A" w:rsidRDefault="007D3F5A" w:rsidP="007776D9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p w:rsidR="007776D9" w:rsidRDefault="007776D9" w:rsidP="007776D9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  <w:r w:rsidRPr="00A054E6">
        <w:rPr>
          <w:rFonts w:ascii="Times New Roman" w:hAnsi="Times New Roman"/>
          <w:sz w:val="24"/>
          <w:szCs w:val="24"/>
          <w:lang w:val="en-IE"/>
        </w:rPr>
        <w:lastRenderedPageBreak/>
        <w:t xml:space="preserve">Supplementary </w:t>
      </w:r>
      <w:r>
        <w:rPr>
          <w:rFonts w:ascii="Times New Roman" w:hAnsi="Times New Roman"/>
          <w:sz w:val="24"/>
          <w:szCs w:val="24"/>
          <w:lang w:val="en-IE"/>
        </w:rPr>
        <w:t xml:space="preserve">Date Table </w:t>
      </w:r>
      <w:r w:rsidR="00334544">
        <w:rPr>
          <w:rFonts w:ascii="Times New Roman" w:hAnsi="Times New Roman"/>
          <w:sz w:val="24"/>
          <w:szCs w:val="24"/>
          <w:lang w:val="en-IE"/>
        </w:rPr>
        <w:t>2</w:t>
      </w:r>
      <w:r w:rsidRPr="00A054E6">
        <w:rPr>
          <w:rFonts w:ascii="Times New Roman" w:hAnsi="Times New Roman"/>
          <w:sz w:val="24"/>
          <w:szCs w:val="24"/>
          <w:lang w:val="en-IE"/>
        </w:rPr>
        <w:t xml:space="preserve">: </w:t>
      </w:r>
      <w:r w:rsidR="007D3F5A">
        <w:rPr>
          <w:rFonts w:ascii="Times New Roman" w:hAnsi="Times New Roman"/>
          <w:sz w:val="24"/>
          <w:szCs w:val="24"/>
          <w:lang w:val="en-IE"/>
        </w:rPr>
        <w:t>List of all DE up-regulated genes and fold change estimated by Microarray and RNA-seq.</w:t>
      </w:r>
    </w:p>
    <w:tbl>
      <w:tblPr>
        <w:tblW w:w="0" w:type="auto"/>
        <w:tblInd w:w="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90"/>
        <w:gridCol w:w="992"/>
        <w:gridCol w:w="1417"/>
        <w:gridCol w:w="993"/>
        <w:gridCol w:w="1275"/>
      </w:tblGrid>
      <w:tr w:rsidR="00FC7CB0" w:rsidRPr="00FC7CB0" w:rsidTr="00FC7CB0">
        <w:trPr>
          <w:trHeight w:val="794"/>
        </w:trPr>
        <w:tc>
          <w:tcPr>
            <w:tcW w:w="1590" w:type="dxa"/>
            <w:vMerge w:val="restart"/>
            <w:vAlign w:val="center"/>
          </w:tcPr>
          <w:p w:rsidR="00FC7CB0" w:rsidRPr="00FC7CB0" w:rsidRDefault="00FC7CB0" w:rsidP="00FC7CB0">
            <w:pPr>
              <w:autoSpaceDE w:val="0"/>
              <w:autoSpaceDN w:val="0"/>
              <w:adjustRightInd w:val="0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sz w:val="24"/>
                <w:szCs w:val="24"/>
                <w:lang w:val="en-IE" w:eastAsia="en-IE"/>
              </w:rPr>
              <w:t>Gene id</w:t>
            </w:r>
          </w:p>
        </w:tc>
        <w:tc>
          <w:tcPr>
            <w:tcW w:w="2409" w:type="dxa"/>
            <w:gridSpan w:val="2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>RNA sequencing</w:t>
            </w:r>
          </w:p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 xml:space="preserve"> Up-regulated</w:t>
            </w:r>
          </w:p>
        </w:tc>
        <w:tc>
          <w:tcPr>
            <w:tcW w:w="2268" w:type="dxa"/>
            <w:gridSpan w:val="2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 xml:space="preserve">Microarray </w:t>
            </w:r>
          </w:p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IE" w:eastAsia="en-IE"/>
              </w:rPr>
            </w:pPr>
            <w:r w:rsidRPr="00FC7CB0">
              <w:rPr>
                <w:rFonts w:cs="Arial"/>
                <w:b/>
                <w:bCs/>
                <w:color w:val="000000"/>
                <w:lang w:val="en-IE" w:eastAsia="en-IE"/>
              </w:rPr>
              <w:t>Up-regulated</w:t>
            </w:r>
          </w:p>
        </w:tc>
      </w:tr>
      <w:tr w:rsidR="00FC7CB0" w:rsidRPr="00FC7CB0" w:rsidTr="00FC7CB0">
        <w:trPr>
          <w:trHeight w:val="426"/>
        </w:trPr>
        <w:tc>
          <w:tcPr>
            <w:tcW w:w="1590" w:type="dxa"/>
            <w:vMerge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  <w:t>Fold Change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  <w:t>p-value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  <w:t>Fold Change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bCs/>
                <w:color w:val="000000"/>
                <w:sz w:val="16"/>
                <w:szCs w:val="16"/>
                <w:lang w:val="en-IE" w:eastAsia="en-IE"/>
              </w:rPr>
              <w:t>p-value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Cntnap5c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Inf</w:t>
            </w:r>
            <w:proofErr w:type="spellEnd"/>
            <w:r>
              <w:rPr>
                <w:rStyle w:val="FootnoteReference"/>
                <w:rFonts w:cs="Arial"/>
                <w:color w:val="000000"/>
                <w:sz w:val="16"/>
                <w:szCs w:val="16"/>
                <w:lang w:val="en-IE" w:eastAsia="en-IE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0.00811168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Htr4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Inf</w:t>
            </w:r>
            <w:proofErr w:type="spellEnd"/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0.015985671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Phox2b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40.652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0.021683372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Oprk1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33.523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0.009989198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Th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14.885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0.019367024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Olfm3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14.499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1.96471E-05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Tinag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13.962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0.006855256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Aqp5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11.241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0.03827926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2.976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0.02829061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Cntnap5b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10.734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0.007798118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Lrp1b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10.356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2.67313E-10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Stmn3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10.052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0.006003718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Fstl5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9.993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0.031568933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Pcp4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9.409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2.85327E-11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Ces2g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9.142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0.000183355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Bhlhe22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9.129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0.006008402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Kcnip1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8.704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8.61502E-09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5.874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0.026830187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Ifi44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8.444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0.012913212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Fam163a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8.348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5.13568E-05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Galntl6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8.086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0.000220113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3110047P20Rik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7.627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0.038093175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Tmem28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7.574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0.000653005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3.785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0.03042167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Kcnj5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7.232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0.002870959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2.083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0.047536302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Tmem213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7.231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0.000548183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Nefh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7.189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0.042118677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Gm765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6.906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0.001092695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Qrfpr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6.904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0.018242304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9130404H23Rik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6.805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0.013520604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Itgb2l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6.688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0.031025179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Slc16a14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6.352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0.008701364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6330407J23Rik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6.345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0.044510005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Zpld1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6.175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0.010396425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3110082D06Rik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6.083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3.90165E-06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Grin2c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6.058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0.012818752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Frem3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5.962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5.38805E-06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Adh7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5.875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0.01468373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Spock1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5.682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5.8183E-15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Grm8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5.669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9.60601E-07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Lingo2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5.580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3.48887E-11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4.696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0.009014199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Slfn10-ps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5.435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0.033647487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Rmst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5.391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0.000311655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Chrm2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5.227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0.001028715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Kcnh3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5.208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0.000149503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Lhcgr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5.169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0.006109941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Zfp804a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5.100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6.23689E-06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Nxph1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5.074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5.74355E-05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Ina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5.034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0.018844215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Kcnh5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4.935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9.19928E-05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Cer1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4.931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0.004938087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Trhde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4.916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3.38578E-13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Lrrtm1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4.800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3.26074E-11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2.748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0.003270305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Odz1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4.769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9.31145E-13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Rasgrf2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4.726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6.94161E-09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Hs3st5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4.725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0.018399541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Gpr50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4.718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0.005342074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Galnt13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4.712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2.28464E-05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Irs4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4.699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8.89623E-05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Gabrg3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4.615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0.014084194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Pde11a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4.554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4.57853E-06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Camp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4.524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5.80342E-05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Cd96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4.494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2.02484E-05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6.327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0.007088687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Emr4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4.421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0.048807742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Cdh8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4.394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2.04332E-11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Darc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4.384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0.011011717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2.360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0.046771158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Kcnc2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4.369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0.002316834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Grem2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4.358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6.87843E-18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4.909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0.0191443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Sstr4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0.000478644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Kctd16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4.312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0.003200397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Zfp804b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4.251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0.009898747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Gpr88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4.242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2.11632E-09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3.497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0.020233307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Gabra5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4.198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3.91689E-05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Cdh20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4.194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5.57411E-09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Ltf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4.172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0.00010046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Odz2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4.065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1.64435E-16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Mdga2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4.019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3.19678E-10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Rassf6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4.013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0.000941612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Cldn11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4.012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5.82596E-19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4.339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0.026749311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Olfm4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3.995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0.000368956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Pappa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3.983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2.52103E-18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Cxcl5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3.977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0.007045612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Nebl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3.977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3.43655E-09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Wnt2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3.958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0.000104042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Mx2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3.922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0.011710449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Samd12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3.863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0.030721288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3.848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0.000649711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Dscam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3.841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0.000206703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BC100530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3.818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0.035898844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Sorcs3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3.813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7.88158E-09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3.265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0.024911175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Chd5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3.809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2.06004E-05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2.339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0.02829061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Dnahc2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3.805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1.6188E-10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Cyp11a1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3.743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0.00526559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Pcdh8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1.37966E-10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5.244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0.006449103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Pcdh11x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3.718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4.83242E-09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Adora3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3.680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0.021555195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St6gal2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3.627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0.000126933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Nrxn3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3.625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0.001157601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2.646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0.046771158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Lamc3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3.587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0.003367514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Lrrc7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3.584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0.000132273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Syt2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3.563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0.014669478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S100a9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3.546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2.28122E-09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Wnt2b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3.497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9.69304E-09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Sez6l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3.469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3.89725E-07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Rtp4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3.467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1.40937E-05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Wfikkn2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3.466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3.77228E-20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3.457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0.007088687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Apod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3.439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9.15031E-10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2.863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0.04700062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Ngp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3.393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1.11712E-06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Rag1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3.383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0.000298643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Grap2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3.366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0.027143322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Negr1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3.354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2.19112E-11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2.904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0.008664596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Slitrk3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3.351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2.77517E-07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Pnma2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3.348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0.000388047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Bnc2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3.326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5.17221E-08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Ankrd55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3.305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0.000166176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Lrrn4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3.294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0.007133272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Tmem90b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3.271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0.001382144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Tulp2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3.263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0.007094287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Plxna4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3.258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1.04676E-05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2.648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0.03042167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Nrg1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3.251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1.13062E-05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2.866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0.029743126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Glis3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3.250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8.99409E-05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2010110P09Rik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3.230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0.034177208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Lypd1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3.229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0.012599147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Erc2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3.226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3.41887E-11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2.630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0.022361835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Lgals7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3.182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0.004911859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Lrrn3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3.178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1.13647E-10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3.170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0.012865157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Figf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3.173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1.54196E-06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3.515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0.03106743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Cadm3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3.151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6.5051E-09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Cd274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3.146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0.044689098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Lama3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3.138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1.65109E-11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Gprin3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3.130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0.013194692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Lhfpl3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3.105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0.004501974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Grin2a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3.105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0.001212279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Il2rb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3.093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0.030047996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Vstm2a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3.090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1.06252E-06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8.556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0.022071414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Grin3a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3.083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6.59045E-06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Npy2r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3.076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0.043465598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4.083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0.016104808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Wnt16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3.065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0.000678927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Aff2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3.061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7.0861E-07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Bdh2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3.057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2.14413E-07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3.045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0.046683427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Chrm1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3.047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0.009294854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5.696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0.0432783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Chgb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2.987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0.015373266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Cpa3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2.02486E-08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Fat4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2.957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2.48032E-14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Nhs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2.954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7.42082E-07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Dsc3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2.944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7.23407E-07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Prtn3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2.943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0.01258186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Gm13154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2.930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0.029073583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Lrfn2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2.926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1.53587E-06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2.999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0.04700292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Mme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2.916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4.60047E-10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Stfa1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2.915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0.000355257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Slc26a7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7.61292E-06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Gsg1l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2.892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4.18696E-10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C030030A07Rik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2.879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0.013809116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Grpr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2.872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0.000323907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Kcnd2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2.853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1.07959E-11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Sned1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2.847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0.000172413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Unc13c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2.835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0.000352109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Rasgrf1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0.025886378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Esr1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0.042051048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Hgf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2.833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1.62534E-06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Cacna2d3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2.822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3.46203E-08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2.877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0.03042167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Pcdhb2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2.811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0.004118991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Trim30d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2.806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0.032401337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Kctd8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2.802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0.014080311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Zfp366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2.798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0.014737195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D830031N03Rik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2.790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0.023177946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Rasd2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2.786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0.007335242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Slc22a3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2.780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0.00226207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Pgr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2.773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0.017805759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Aox3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2.764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0.017855151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Cldn1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1.78588E-11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Gprin2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2.732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0.014645987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Mgat4c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2.727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0.003141679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Csmd3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2.720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8.12645E-08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Rassf9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2.718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0.001300208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Ifltd1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0.021396163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Pi15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2.702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2.92394E-07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Aldh1a1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2.702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0.031247555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Ptchd1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2.700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1.32068E-06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Rims1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2.696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0.00361253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Lmx1a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2.693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0.002502881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Vnn1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2.685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0.001229868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Tpsg1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2.683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0.013827512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S100a8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2.682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0.001179789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Aox4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2.680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0.005330953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Gbp3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2.680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0.020948944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Cadm2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2.669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5.97444E-05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Thsd7b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2.669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3.65584E-08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Stac2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2.664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1.06734E-05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0.021104623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Uprt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2.660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0.036481628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Pcdhb6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2.657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0.000971057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Syt5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2.657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0.014578781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3110099E03Rik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2.652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0.028989904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Clic5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2.644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0.000143118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2.598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0.015984364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Robo2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2.638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4.77656E-13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Optc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2.636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0.006670803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Bai3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9.03636E-07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Gria2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2.630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0.003821262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Hdc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2.627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0.00789997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Edar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2.626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0.034376024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A730069N07Rik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2.624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0.037926155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Rtn4r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2.620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3.29944E-05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Oprd1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2.615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0.015080163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Mmp28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2.608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0.004942454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Gpc5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0.001010127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Dbc1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6.89248E-07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Flrt1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2.604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4.38868E-06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H60b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2.593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0.028096446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Oprl1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0.006032349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Fmn2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7.04459E-06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Pgap1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2.548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9.99216E-05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9130008F23Rik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2.537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0.016995569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Hbb-bh1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2.533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0.000587881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Grid2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2.533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0.004232619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Pcdh10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2.529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9.72004E-12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0.017431902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Arhgap20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1.02353E-10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Adamts12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6.89168E-05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Grm4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0.000987148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Siglec1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2.511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0.013051847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Scg2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0.019336708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Mmrn1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2.496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5.54907E-07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2.487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6.31412E-09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Scube2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2.486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1.19351E-08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Lmx1b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2.479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3.20234E-05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Lrrc4c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2.475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4.20325E-07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Gm106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2.474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5.60136E-06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Sorcs1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2.471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9.0741E-11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Tcfcp2l1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2.467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0.00035783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Thsd4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2.457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4.74163E-11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Trpc5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2.450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0.044192008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Dlg2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2.449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5.29662E-09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Cntn4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2.441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0.00027323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Klhl34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2.438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0.007011755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Dkk2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2.436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1.28371E-08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Fat2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2.433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0.000122468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Rspo2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2.428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2.24518E-10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3.077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0.011657668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Sesn3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2.423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1.31833E-05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Sorl1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2.422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3.60514E-07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0.03170701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H2-T24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0.011510566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Vsnl1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0.001124722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Tmem26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2.405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4.68593E-11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Gabrb3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2.400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8.28704E-08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Rgs9bp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2.394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0.000213765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Crabp1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2.392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6.36088E-07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2.820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0.022896456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Fgf2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2.389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0.006861295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Gpr21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2.388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0.049713237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Ahr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2.385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1.25812E-08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Lsamp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2.382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0.000115077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Lcn2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2.380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0.00536202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Zfp369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2.379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4.66917E-05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Slit3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2.378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3.61817E-05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Pcdhb10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2.375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0.014264068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Tuba8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2.374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0.045281056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Hcn1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2.374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0.000443861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Accn1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2.371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0.030431602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Maf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2.370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8.046E-11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Gstt1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2.369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9.34437E-06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0.014203158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Epha4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2.367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1.09558E-06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Cadps2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2.367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2.02583E-07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Foxc2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2.362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3.77885E-09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2.091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0.022120591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Samd9l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2.359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4.06757E-05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Pde3a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2.356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0.000252521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Cnksr2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2.350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1.67466E-06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2.034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0.023361117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Olfml2a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2.348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0.004423579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Rundc2a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0.000568975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Prdm11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0.007433865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Cxcl13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0.000815449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2410066E13Rik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5.12866E-05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Ptx3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2.327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4.83727E-10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2.724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0.009014199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Ptafr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2.325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0.012971943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Mecom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2.324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9.89019E-10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Pcdhga2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2.322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4.60663E-05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Prrx1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2.321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9.53569E-11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Foxd2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2.39873E-06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Xpnpep2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1.89682E-05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Adra1d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0.021633553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Cbl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0.010130391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Plb1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2.306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0.028733823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Adra1b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2.304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0.003433491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Enpep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2.53756E-06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Ccdc158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0.045877342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Ncam2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0.002124326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Col8a1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1.09688E-09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Myocd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0.040200711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Ankrd45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0.047353982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Slc40a1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1.12932E-09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2.326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0.006270704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Angptl4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0.004535418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0.030546911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Abca1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1.51947E-09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Pdpr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0.007641978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Cntn1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9.40642E-07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0.029743126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Slitrk6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3.4985E-08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Zfp382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0.025343336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Epha5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8.58459E-08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Mgat5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0.027815516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Hhip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2.265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5.90086E-05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4930441O14Rik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2.265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0.034203402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Sox5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2.263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0.018114271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Kif13b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2.260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0.001190356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Svep1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2.258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1.16294E-05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Dnahc8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2.256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0.001986264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Dlx6os1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2.255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0.000714783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2.995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0.022896456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Prdm6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2.255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1.31907E-06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0.020373477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Syt1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2.252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0.028025215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Hyal1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0.000200445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Dio3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0.003613222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Shroom4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0.002278556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Samd5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0.020010474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Fam198a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9.27339E-09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Sema5a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1.05617E-09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Hbb</w:t>
            </w:r>
            <w:proofErr w:type="spellEnd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-y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0.038467745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Krt7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0.000961023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Zbed6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2.241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0.019980525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Xrn1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2.231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0.006731401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Fam84a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2.228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2.96287E-07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Rassf8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2.223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0.000601203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Fam107a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2.223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0.004755457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2.136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0.022120591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Fgd3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2.223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0.030165821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Prokr1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2.222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3.35816E-08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Hmbox1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0.003467061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Serpinb1a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0.000184334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Ppp1r3b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1.4059E-08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Ldb2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2.9089E-09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Bace2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6.73151E-06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2.835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0.030364744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Elovl7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2.200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0.007187013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Kcns3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2.78753E-06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Stk32b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9.71846E-07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Zkscan16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0.002988075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Cntn5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0.013216323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Gan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0.00130235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Fmo1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0.001376719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Krt15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0.024841916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5.601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0.036359612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Kcnb2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0.041471176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2.901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0.041941773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Foxo3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0.000246334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L3mbtl3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6.73263E-09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Lgr5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6.19424E-07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Col8a2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8.85889E-10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Rgs7bp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4.93168E-06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Tox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4.55433E-08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Thsd7a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7.40566E-06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Pcdhga1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0.000730494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BC005561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0.006359051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Gfra2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3.02507E-08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Cd83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1.31811E-05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0.0432783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Dpyd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3.1538E-06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2.310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0.02829061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Pappa2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2.170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0.000174666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Alcam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2.165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9.22825E-10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Scube3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2.161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0.000109247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Cxcl14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2.161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2.3385E-06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Ccbe1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4.98708E-07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Rapgef5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2.88791E-05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Masp1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0.006495732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Cdkl5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0.026246787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6430704M03Rik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0.003661461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Kcnab1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3.71027E-05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Nckap5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0.000387554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Ace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0.003928341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Spock2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1.40746E-07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Ptch1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0.014230432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Klf7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0.008730025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N28178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0.03120798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Trim30a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0.000562132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Paqr6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0.010785309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Opcml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1.0228E-05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Sema3d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2.140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0.000504096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Fgf10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2.139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8.88607E-08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2.478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0.03668818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Tns3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2.139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8.54283E-09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Tlr7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2.137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0.003542479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Gucy1a2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2.135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0.028616299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Gbp6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2.131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0.000161545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Apbb2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2.130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0.000665099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Rnf182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2.128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0.000280459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Igf1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2.124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5.59649E-09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Cbln1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2.123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0.014485088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Rassf4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7.75766E-08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Hmcn1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1.17611E-05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Pcdhga9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0.001917222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Spn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0.038737032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Elavl2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0.003871433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0.001376546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Grm7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4.09248E-06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Cpz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0.014086119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Scn1a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0.01030945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Lrfn5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0.007871477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Epha3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2.097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5.43178E-07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Sfrp2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2.092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8.71221E-09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2.618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0.013549614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Chrna7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2.091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0.00528383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Enam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2.088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0.03526418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Sarm1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2.086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0.003770446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Evi2a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2.085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0.007561705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Rnf180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2.079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0.008231714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Ptplad2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2.077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0.002338624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Krt18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2.075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1.68256E-05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2.290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0.024764035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Il1rl1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0.000501689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Zfp618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0.000605746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Hba</w:t>
            </w:r>
            <w:proofErr w:type="spellEnd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-x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4.27266E-05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Megf9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2.063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0.005656898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Trim56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0.023901364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lastRenderedPageBreak/>
              <w:t>Slc16a8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0.02993116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Grp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2.059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0.016656605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Ccdc30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2.057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0.015181653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Slc4a11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0.016905863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Hmgcs2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0.009096192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Mpo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0.026482552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Pdgfra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2.041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8.36077E-08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Shank1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0.019115693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Klf12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4.99436E-05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Bmp3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2.030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3.60153E-06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Wnt4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2.028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0.000376716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Gm13152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0.002657245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Rspo3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2.022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9.07763E-08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Lonrf2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2.020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7.45703E-06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Kitl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2.23348E-07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1700003E16Rik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0.000337161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Megf6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0.00033747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2.069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0.019919738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Zbtb7c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1.04392E-05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Lphn3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6.2356E-05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D130017N08Rik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2.009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0.012273568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Ccdc60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2.007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0.001639865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Rab17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2.006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0.030860461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Slc5a3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2.004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4.00678E-07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Syt16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2.001</w:t>
            </w: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0.000316039</w:t>
            </w: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Kndc1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5.317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0.013908912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LOC100046616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4.014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0.04956006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Ccdc121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3.313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0.03042167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Gm5382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3.244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0.024911175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1700025F22Rik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3.023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0.015984364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Stat1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2.952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0.030546911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Slc5a7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2.908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0.021124505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Gpr4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2.836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0.04425495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AA387883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2.759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0.008290993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Gm3333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2.724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0.030546911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Nrip3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2.627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0.030546911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Nrxn1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2.587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0.03586748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Tmem178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2.561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0.006270704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Syn2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2.460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0.020233307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Penk</w:t>
            </w:r>
            <w:proofErr w:type="spellEnd"/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2.453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0.024911175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Krt13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2.427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0.04227364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E330013P04Rik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2.410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0.03668818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Fxyd7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2.325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0.024911175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Mgst1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2.283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0.035782292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LOC552880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0.034443438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Tmem145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2.270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0.012821585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5033411D12Rik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2.227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0.04737632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Rnd1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2.213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0.047857255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Me3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2.207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0.026873125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Stmn2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2.190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0.0417661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Fam196a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2.181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0.012889229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Fam181b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2.159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0.005028295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Gal3st4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2.119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0.029877413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Sfrs13b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2.106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0.010502099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Sult5a1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2.088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0.046443906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1500015O10Rik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2.050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0.027150191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BC068157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2.016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0.048310697</w:t>
            </w:r>
          </w:p>
        </w:tc>
      </w:tr>
      <w:tr w:rsidR="00FC7CB0" w:rsidRPr="00FC7CB0" w:rsidTr="00FC7CB0">
        <w:trPr>
          <w:trHeight w:val="227"/>
        </w:trPr>
        <w:tc>
          <w:tcPr>
            <w:tcW w:w="1590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Ankrd29</w:t>
            </w:r>
          </w:p>
        </w:tc>
        <w:tc>
          <w:tcPr>
            <w:tcW w:w="992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417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93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2.005</w:t>
            </w:r>
          </w:p>
        </w:tc>
        <w:tc>
          <w:tcPr>
            <w:tcW w:w="1275" w:type="dxa"/>
            <w:vAlign w:val="center"/>
          </w:tcPr>
          <w:p w:rsidR="00FC7CB0" w:rsidRPr="00FC7CB0" w:rsidRDefault="00FC7CB0" w:rsidP="00FC7CB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IE" w:eastAsia="en-IE"/>
              </w:rPr>
            </w:pPr>
            <w:r w:rsidRPr="00FC7CB0">
              <w:rPr>
                <w:rFonts w:cs="Arial"/>
                <w:color w:val="000000"/>
                <w:sz w:val="16"/>
                <w:szCs w:val="16"/>
                <w:lang w:val="en-IE" w:eastAsia="en-IE"/>
              </w:rPr>
              <w:t>0.033869874</w:t>
            </w:r>
          </w:p>
        </w:tc>
      </w:tr>
    </w:tbl>
    <w:p w:rsidR="007776D9" w:rsidRDefault="007776D9" w:rsidP="005D06C0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pPr w:leftFromText="180" w:rightFromText="180" w:vertAnchor="text" w:horzAnchor="margin" w:tblpY="998"/>
        <w:tblW w:w="7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3827"/>
        <w:gridCol w:w="992"/>
        <w:gridCol w:w="1560"/>
      </w:tblGrid>
      <w:tr w:rsidR="007D3F5A" w:rsidRPr="00FA4C1E" w:rsidTr="00934CB2">
        <w:trPr>
          <w:trHeight w:val="567"/>
        </w:trPr>
        <w:tc>
          <w:tcPr>
            <w:tcW w:w="7258" w:type="dxa"/>
            <w:gridSpan w:val="4"/>
            <w:tcBorders>
              <w:bottom w:val="single" w:sz="4" w:space="0" w:color="auto"/>
            </w:tcBorders>
            <w:vAlign w:val="bottom"/>
          </w:tcPr>
          <w:p w:rsidR="007D3F5A" w:rsidRPr="00934CB2" w:rsidRDefault="00934CB2" w:rsidP="00934CB2">
            <w:pPr>
              <w:pStyle w:val="Normal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4CB2">
              <w:rPr>
                <w:rFonts w:cs="Arial"/>
                <w:sz w:val="20"/>
                <w:szCs w:val="20"/>
              </w:rPr>
              <w:lastRenderedPageBreak/>
              <w:t>E</w:t>
            </w:r>
            <w:r w:rsidR="007D3F5A" w:rsidRPr="00934CB2">
              <w:rPr>
                <w:rFonts w:cs="Arial"/>
                <w:sz w:val="20"/>
                <w:szCs w:val="20"/>
              </w:rPr>
              <w:t xml:space="preserve">nrichment </w:t>
            </w:r>
            <w:r w:rsidRPr="00934CB2">
              <w:rPr>
                <w:rFonts w:cs="Arial"/>
                <w:sz w:val="20"/>
                <w:szCs w:val="20"/>
              </w:rPr>
              <w:t>of</w:t>
            </w:r>
            <w:r w:rsidR="007D3F5A" w:rsidRPr="00934CB2">
              <w:rPr>
                <w:rFonts w:cs="Arial"/>
                <w:sz w:val="20"/>
                <w:szCs w:val="20"/>
              </w:rPr>
              <w:t xml:space="preserve"> muscle associated genes</w:t>
            </w:r>
            <w:r w:rsidRPr="00934CB2">
              <w:rPr>
                <w:rFonts w:cs="Arial"/>
                <w:sz w:val="20"/>
                <w:szCs w:val="20"/>
              </w:rPr>
              <w:t xml:space="preserve"> identified in the down-regulated gene category</w:t>
            </w:r>
          </w:p>
        </w:tc>
      </w:tr>
      <w:tr w:rsidR="007D3F5A" w:rsidRPr="00FA4C1E" w:rsidTr="00934CB2">
        <w:trPr>
          <w:trHeight w:val="340"/>
        </w:trPr>
        <w:tc>
          <w:tcPr>
            <w:tcW w:w="4706" w:type="dxa"/>
            <w:gridSpan w:val="2"/>
            <w:tcBorders>
              <w:top w:val="single" w:sz="4" w:space="0" w:color="auto"/>
            </w:tcBorders>
            <w:vAlign w:val="center"/>
          </w:tcPr>
          <w:p w:rsidR="007D3F5A" w:rsidRPr="00FA4C1E" w:rsidRDefault="007D3F5A" w:rsidP="00934CB2">
            <w:pPr>
              <w:pStyle w:val="Normal2"/>
              <w:spacing w:after="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FA4C1E">
              <w:rPr>
                <w:rFonts w:cs="Arial"/>
                <w:b/>
                <w:sz w:val="24"/>
                <w:szCs w:val="24"/>
              </w:rPr>
              <w:t>Gene Ontology Term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3F5A" w:rsidRPr="00FA4C1E" w:rsidRDefault="007D3F5A" w:rsidP="00934CB2">
            <w:pPr>
              <w:pStyle w:val="Normal2"/>
              <w:spacing w:after="0" w:line="240" w:lineRule="auto"/>
              <w:jc w:val="center"/>
              <w:rPr>
                <w:rFonts w:cs="Arial"/>
                <w:b/>
              </w:rPr>
            </w:pPr>
            <w:r w:rsidRPr="00FA4C1E">
              <w:rPr>
                <w:rFonts w:cs="Arial"/>
                <w:b/>
              </w:rPr>
              <w:t>Gene count in study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D3F5A" w:rsidRPr="00FA4C1E" w:rsidRDefault="007D3F5A" w:rsidP="00934CB2">
            <w:pPr>
              <w:pStyle w:val="Normal2"/>
              <w:spacing w:after="0" w:line="240" w:lineRule="auto"/>
              <w:jc w:val="center"/>
              <w:rPr>
                <w:rFonts w:cs="Arial"/>
                <w:b/>
              </w:rPr>
            </w:pPr>
            <w:r w:rsidRPr="00FA4C1E">
              <w:rPr>
                <w:rFonts w:cs="Arial"/>
                <w:b/>
              </w:rPr>
              <w:t>Enrichment</w:t>
            </w:r>
            <w:r w:rsidRPr="00FA4C1E">
              <w:rPr>
                <w:rFonts w:cs="Arial"/>
                <w:b/>
                <w:vertAlign w:val="superscript"/>
              </w:rPr>
              <w:t>1</w:t>
            </w:r>
          </w:p>
        </w:tc>
      </w:tr>
      <w:tr w:rsidR="007D3F5A" w:rsidRPr="00FA4C1E" w:rsidTr="00934CB2">
        <w:trPr>
          <w:trHeight w:val="357"/>
        </w:trPr>
        <w:tc>
          <w:tcPr>
            <w:tcW w:w="4706" w:type="dxa"/>
            <w:gridSpan w:val="2"/>
            <w:shd w:val="clear" w:color="auto" w:fill="F2F2F2" w:themeFill="background1" w:themeFillShade="F2"/>
            <w:vAlign w:val="center"/>
          </w:tcPr>
          <w:p w:rsidR="007D3F5A" w:rsidRPr="00FA4C1E" w:rsidRDefault="007D3F5A" w:rsidP="00934CB2">
            <w:pPr>
              <w:pStyle w:val="Normal2"/>
              <w:spacing w:after="0" w:line="240" w:lineRule="auto"/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  <w:lang w:eastAsia="en-IE"/>
              </w:rPr>
            </w:pPr>
            <w:r w:rsidRPr="00FA4C1E">
              <w:rPr>
                <w:rFonts w:cs="Arial"/>
                <w:b/>
                <w:sz w:val="24"/>
                <w:szCs w:val="24"/>
              </w:rPr>
              <w:t>Muscle Development/ Structure/ Function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D3F5A" w:rsidRPr="00FA4C1E" w:rsidRDefault="007D3F5A" w:rsidP="00934CB2">
            <w:pPr>
              <w:pStyle w:val="Normal2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IE"/>
              </w:rPr>
            </w:pPr>
            <w:r w:rsidRPr="00FA4C1E">
              <w:rPr>
                <w:rFonts w:cs="Arial"/>
                <w:sz w:val="20"/>
                <w:szCs w:val="20"/>
              </w:rPr>
              <w:t>[69]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3F5A" w:rsidRPr="00FA4C1E" w:rsidRDefault="007D3F5A" w:rsidP="00934CB2">
            <w:pPr>
              <w:pStyle w:val="Normal2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IE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1.77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-25 </w:t>
            </w:r>
            <w:r w:rsidRPr="00FA4C1E">
              <w:rPr>
                <w:rFonts w:cs="Arial"/>
                <w:color w:val="000000"/>
                <w:sz w:val="16"/>
                <w:szCs w:val="16"/>
              </w:rPr>
              <w:t>to   2.42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-8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 w:val="restart"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GO:0007517: muscle organ development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1.77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-25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GO:0060537: muscle tissue development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1.58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-21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GO:0014706: striated muscle tissue development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1.69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-21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GO:0055002: striated muscle cell development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1.63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-19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GO:0051146: striated muscle cell differentiation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1.36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-18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GO:0003012: muscle system process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2.32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-18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GO:0006936: muscle contraction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2.47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-18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GO:0055001: muscle cell development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3.74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-18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GO:0042692: muscle cell differentiation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2.11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-17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GO:0007519: skeletal muscle tissue development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3.22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-15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GO:0060538: skeletal muscle organ development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5.97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-15</w:t>
            </w:r>
          </w:p>
        </w:tc>
      </w:tr>
      <w:tr w:rsidR="007D3F5A" w:rsidRPr="00FA4C1E" w:rsidTr="00934CB2">
        <w:trPr>
          <w:trHeight w:val="170"/>
        </w:trPr>
        <w:tc>
          <w:tcPr>
            <w:tcW w:w="879" w:type="dxa"/>
            <w:vMerge/>
          </w:tcPr>
          <w:p w:rsidR="007D3F5A" w:rsidRPr="00FA4C1E" w:rsidRDefault="007D3F5A" w:rsidP="00934CB2">
            <w:pPr>
              <w:pStyle w:val="Normal2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GO:0006941: striated muscle contraction</w:t>
            </w:r>
          </w:p>
        </w:tc>
        <w:tc>
          <w:tcPr>
            <w:tcW w:w="992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7D3F5A" w:rsidRPr="00FA4C1E" w:rsidRDefault="007D3F5A" w:rsidP="00934CB2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>2.42 x10</w:t>
            </w:r>
            <w:r w:rsidRPr="00FA4C1E">
              <w:rPr>
                <w:rFonts w:cs="Arial"/>
                <w:color w:val="000000"/>
                <w:sz w:val="16"/>
                <w:szCs w:val="16"/>
                <w:vertAlign w:val="superscript"/>
              </w:rPr>
              <w:t>-8</w:t>
            </w:r>
          </w:p>
        </w:tc>
      </w:tr>
      <w:tr w:rsidR="007D3F5A" w:rsidRPr="00FA4C1E" w:rsidTr="00934CB2">
        <w:trPr>
          <w:trHeight w:val="170"/>
        </w:trPr>
        <w:tc>
          <w:tcPr>
            <w:tcW w:w="72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F5A" w:rsidRPr="00FA4C1E" w:rsidRDefault="007D3F5A" w:rsidP="00934CB2">
            <w:pPr>
              <w:pStyle w:val="Normal2"/>
              <w:spacing w:after="0" w:line="240" w:lineRule="auto"/>
              <w:jc w:val="right"/>
              <w:rPr>
                <w:rFonts w:eastAsia="Calibri" w:cs="Arial"/>
                <w:color w:val="000000"/>
                <w:sz w:val="16"/>
                <w:szCs w:val="16"/>
              </w:rPr>
            </w:pPr>
            <w:r w:rsidRPr="00FA4C1E">
              <w:rPr>
                <w:rFonts w:cs="Arial"/>
                <w:color w:val="000000"/>
                <w:sz w:val="16"/>
                <w:szCs w:val="16"/>
              </w:rPr>
              <w:t xml:space="preserve">1. P-value of enrichment of GO terms using DAVID analysis software; similar results were found with </w:t>
            </w:r>
            <w:proofErr w:type="spellStart"/>
            <w:r w:rsidRPr="00FA4C1E">
              <w:rPr>
                <w:rFonts w:cs="Arial"/>
                <w:color w:val="000000"/>
                <w:sz w:val="16"/>
                <w:szCs w:val="16"/>
              </w:rPr>
              <w:t>GOstat</w:t>
            </w:r>
            <w:proofErr w:type="spellEnd"/>
            <w:r w:rsidRPr="00FA4C1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</w:tbl>
    <w:p w:rsidR="005D06C0" w:rsidRPr="007D3F5A" w:rsidRDefault="00934CB2" w:rsidP="007D3F5A">
      <w:pPr>
        <w:numPr>
          <w:ilvl w:val="0"/>
          <w:numId w:val="0"/>
        </w:numPr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Supplementary Data Table 4:</w:t>
      </w:r>
    </w:p>
    <w:p w:rsidR="006D4D56" w:rsidRPr="005D06C0" w:rsidRDefault="006D4D56" w:rsidP="005D06C0">
      <w:pPr>
        <w:numPr>
          <w:ilvl w:val="0"/>
          <w:numId w:val="0"/>
        </w:numPr>
        <w:rPr>
          <w:lang w:val="en-IE"/>
        </w:rPr>
      </w:pPr>
    </w:p>
    <w:sectPr w:rsidR="006D4D56" w:rsidRPr="005D06C0" w:rsidSect="00A16D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57" w:rsidRDefault="00D20C57" w:rsidP="00A200BA">
      <w:pPr>
        <w:spacing w:after="0" w:line="240" w:lineRule="auto"/>
      </w:pPr>
      <w:r>
        <w:separator/>
      </w:r>
    </w:p>
  </w:endnote>
  <w:endnote w:type="continuationSeparator" w:id="0">
    <w:p w:rsidR="00D20C57" w:rsidRDefault="00D20C57" w:rsidP="00A2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93" w:rsidRPr="00A200BA" w:rsidRDefault="00D34C93" w:rsidP="00A200BA">
    <w:pPr>
      <w:pStyle w:val="Footer"/>
      <w:numPr>
        <w:ilvl w:val="0"/>
        <w:numId w:val="0"/>
      </w:numPr>
      <w:ind w:left="360" w:hanging="360"/>
      <w:rPr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57" w:rsidRDefault="00D20C57" w:rsidP="00FC7CB0">
      <w:pPr>
        <w:numPr>
          <w:ilvl w:val="0"/>
          <w:numId w:val="0"/>
        </w:numPr>
        <w:spacing w:after="0" w:line="240" w:lineRule="auto"/>
        <w:ind w:left="360" w:hanging="360"/>
      </w:pPr>
      <w:r>
        <w:separator/>
      </w:r>
    </w:p>
  </w:footnote>
  <w:footnote w:type="continuationSeparator" w:id="0">
    <w:p w:rsidR="00D20C57" w:rsidRDefault="00D20C57" w:rsidP="00A200BA">
      <w:pPr>
        <w:spacing w:after="0" w:line="240" w:lineRule="auto"/>
      </w:pPr>
      <w:r>
        <w:continuationSeparator/>
      </w:r>
    </w:p>
  </w:footnote>
  <w:footnote w:id="1">
    <w:p w:rsidR="00D34C93" w:rsidRPr="00FC7CB0" w:rsidRDefault="00D34C93" w:rsidP="00FC7CB0">
      <w:pPr>
        <w:pStyle w:val="Normal1"/>
        <w:rPr>
          <w:rFonts w:ascii="Times New Roman" w:hAnsi="Times New Roman"/>
        </w:rPr>
      </w:pPr>
      <w:r w:rsidRPr="00FC7CB0">
        <w:rPr>
          <w:rStyle w:val="FootnoteReference"/>
          <w:rFonts w:ascii="Times New Roman" w:hAnsi="Times New Roman"/>
        </w:rPr>
        <w:footnoteRef/>
      </w:r>
      <w:r w:rsidRPr="00FC7CB0">
        <w:rPr>
          <w:rFonts w:ascii="Times New Roman" w:hAnsi="Times New Roman"/>
        </w:rPr>
        <w:t xml:space="preserve"> Fold Change not </w:t>
      </w:r>
      <w:r w:rsidR="007D3F5A">
        <w:rPr>
          <w:rFonts w:ascii="Times New Roman" w:hAnsi="Times New Roman"/>
        </w:rPr>
        <w:t>determined as no expression in M</w:t>
      </w:r>
      <w:r w:rsidRPr="00FC7CB0">
        <w:rPr>
          <w:rFonts w:ascii="Times New Roman" w:hAnsi="Times New Roman"/>
        </w:rPr>
        <w:t>utant</w:t>
      </w:r>
    </w:p>
  </w:footnote>
  <w:footnote w:id="2">
    <w:p w:rsidR="00D34C93" w:rsidRPr="00FC7CB0" w:rsidRDefault="00D34C93" w:rsidP="00FC7CB0">
      <w:pPr>
        <w:pStyle w:val="FootnoteTex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  <w:r w:rsidRPr="00FC7CB0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FC7CB0">
        <w:rPr>
          <w:rFonts w:ascii="Times New Roman" w:hAnsi="Times New Roman"/>
          <w:sz w:val="24"/>
          <w:szCs w:val="24"/>
        </w:rPr>
        <w:t xml:space="preserve"> Fold Change not determined as no expression in Control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B64"/>
    <w:multiLevelType w:val="hybridMultilevel"/>
    <w:tmpl w:val="0F429ECA"/>
    <w:lvl w:ilvl="0" w:tplc="4ED0005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8802CD"/>
    <w:multiLevelType w:val="hybridMultilevel"/>
    <w:tmpl w:val="08BA3E2E"/>
    <w:lvl w:ilvl="0" w:tplc="1086506E">
      <w:start w:val="1"/>
      <w:numFmt w:val="decimal"/>
      <w:pStyle w:val="Heading3"/>
      <w:lvlText w:val="3.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2B42"/>
    <w:multiLevelType w:val="hybridMultilevel"/>
    <w:tmpl w:val="72EC5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D18D9"/>
    <w:multiLevelType w:val="hybridMultilevel"/>
    <w:tmpl w:val="EB8AB5A8"/>
    <w:lvl w:ilvl="0" w:tplc="6568D0A8">
      <w:start w:val="1"/>
      <w:numFmt w:val="decimal"/>
      <w:pStyle w:val="Normal"/>
      <w:lvlText w:val="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3656"/>
    <w:multiLevelType w:val="hybridMultilevel"/>
    <w:tmpl w:val="927AEBAC"/>
    <w:lvl w:ilvl="0" w:tplc="B8121B7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25A9"/>
    <w:multiLevelType w:val="hybridMultilevel"/>
    <w:tmpl w:val="429CC06A"/>
    <w:lvl w:ilvl="0" w:tplc="1DA227C2">
      <w:start w:val="1"/>
      <w:numFmt w:val="decimal"/>
      <w:pStyle w:val="Heading5"/>
      <w:lvlText w:val="5.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3DC5"/>
    <w:multiLevelType w:val="hybridMultilevel"/>
    <w:tmpl w:val="CBA62458"/>
    <w:lvl w:ilvl="0" w:tplc="4B86CE0A">
      <w:start w:val="1"/>
      <w:numFmt w:val="lowerLetter"/>
      <w:pStyle w:val="Heading4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D06C0"/>
    <w:rsid w:val="00136BFF"/>
    <w:rsid w:val="0019758B"/>
    <w:rsid w:val="001E27F2"/>
    <w:rsid w:val="00211EE1"/>
    <w:rsid w:val="00334544"/>
    <w:rsid w:val="00367736"/>
    <w:rsid w:val="0037715B"/>
    <w:rsid w:val="00417065"/>
    <w:rsid w:val="00421233"/>
    <w:rsid w:val="0044562C"/>
    <w:rsid w:val="004641E5"/>
    <w:rsid w:val="00530ACA"/>
    <w:rsid w:val="00532A8F"/>
    <w:rsid w:val="0058370B"/>
    <w:rsid w:val="005B76EF"/>
    <w:rsid w:val="005D06C0"/>
    <w:rsid w:val="006D4D56"/>
    <w:rsid w:val="007013F9"/>
    <w:rsid w:val="00721F2A"/>
    <w:rsid w:val="007776D9"/>
    <w:rsid w:val="007D3F5A"/>
    <w:rsid w:val="007F6F7D"/>
    <w:rsid w:val="008813B0"/>
    <w:rsid w:val="008A63DB"/>
    <w:rsid w:val="008B46EC"/>
    <w:rsid w:val="008E30EE"/>
    <w:rsid w:val="00934CB2"/>
    <w:rsid w:val="009C75DF"/>
    <w:rsid w:val="00A054E6"/>
    <w:rsid w:val="00A16D78"/>
    <w:rsid w:val="00A200BA"/>
    <w:rsid w:val="00B27E05"/>
    <w:rsid w:val="00B31FBC"/>
    <w:rsid w:val="00B62DFB"/>
    <w:rsid w:val="00C2789F"/>
    <w:rsid w:val="00C4181D"/>
    <w:rsid w:val="00C47A18"/>
    <w:rsid w:val="00C61E1D"/>
    <w:rsid w:val="00C7762E"/>
    <w:rsid w:val="00D20C57"/>
    <w:rsid w:val="00D34C93"/>
    <w:rsid w:val="00D4155D"/>
    <w:rsid w:val="00DA4660"/>
    <w:rsid w:val="00DD24EB"/>
    <w:rsid w:val="00DF6B8F"/>
    <w:rsid w:val="00E35E2C"/>
    <w:rsid w:val="00EF6A3A"/>
    <w:rsid w:val="00F063A4"/>
    <w:rsid w:val="00F44EB6"/>
    <w:rsid w:val="00F626E9"/>
    <w:rsid w:val="00FB4922"/>
    <w:rsid w:val="00FC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 2"/>
    <w:qFormat/>
    <w:rsid w:val="00FB4922"/>
    <w:pPr>
      <w:numPr>
        <w:numId w:val="7"/>
      </w:numPr>
      <w:spacing w:after="200" w:line="360" w:lineRule="auto"/>
      <w:jc w:val="both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FBC"/>
    <w:pPr>
      <w:keepNext/>
      <w:numPr>
        <w:numId w:val="3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rsid w:val="00C2789F"/>
    <w:pPr>
      <w:numPr>
        <w:numId w:val="0"/>
      </w:numPr>
      <w:outlineLvl w:val="1"/>
    </w:pPr>
    <w:rPr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FBC"/>
    <w:pPr>
      <w:keepNext/>
      <w:numPr>
        <w:numId w:val="4"/>
      </w:numPr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FBC"/>
    <w:pPr>
      <w:keepNext/>
      <w:keepLines/>
      <w:numPr>
        <w:numId w:val="5"/>
      </w:numPr>
      <w:spacing w:before="200" w:after="0" w:line="240" w:lineRule="auto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FBC"/>
    <w:pPr>
      <w:keepNext/>
      <w:keepLines/>
      <w:numPr>
        <w:numId w:val="6"/>
      </w:numPr>
      <w:spacing w:before="200" w:after="0"/>
      <w:outlineLvl w:val="4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89F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1FBC"/>
    <w:rPr>
      <w:rFonts w:ascii="Arial" w:eastAsiaTheme="majorEastAsia" w:hAnsi="Arial" w:cstheme="majorBidi"/>
      <w:b/>
      <w:bCs/>
      <w:kern w:val="32"/>
      <w:sz w:val="28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31FBC"/>
    <w:rPr>
      <w:rFonts w:ascii="Arial" w:eastAsiaTheme="majorEastAsia" w:hAnsi="Arial" w:cstheme="majorBidi"/>
      <w:b/>
      <w:bCs/>
      <w:sz w:val="22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31FBC"/>
    <w:rPr>
      <w:rFonts w:ascii="Arial" w:eastAsiaTheme="majorEastAsia" w:hAnsi="Arial" w:cstheme="majorBidi"/>
      <w:b/>
      <w:bCs/>
      <w:iCs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31FBC"/>
    <w:rPr>
      <w:rFonts w:ascii="Arial" w:eastAsiaTheme="majorEastAsia" w:hAnsi="Arial" w:cstheme="majorBidi"/>
      <w:b/>
      <w:sz w:val="24"/>
      <w:szCs w:val="22"/>
      <w:lang w:val="en-GB" w:eastAsia="en-US"/>
    </w:rPr>
  </w:style>
  <w:style w:type="paragraph" w:styleId="NoSpacing">
    <w:name w:val="No Spacing"/>
    <w:link w:val="NoSpacingChar"/>
    <w:uiPriority w:val="1"/>
    <w:qFormat/>
    <w:rsid w:val="00B31FBC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1FBC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31FBC"/>
    <w:pPr>
      <w:numPr>
        <w:numId w:val="0"/>
      </w:numPr>
      <w:contextualSpacing/>
    </w:pPr>
  </w:style>
  <w:style w:type="paragraph" w:customStyle="1" w:styleId="Normal1">
    <w:name w:val="Normal1"/>
    <w:next w:val="Heading2"/>
    <w:qFormat/>
    <w:rsid w:val="00FB4922"/>
    <w:pPr>
      <w:spacing w:after="200" w:line="360" w:lineRule="auto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Normal2">
    <w:name w:val="Normal2"/>
    <w:aliases w:val="heading 1,heading 21"/>
    <w:next w:val="Normal"/>
    <w:qFormat/>
    <w:rsid w:val="009C75DF"/>
    <w:pPr>
      <w:spacing w:after="200" w:line="360" w:lineRule="auto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Normal3">
    <w:name w:val="Normal3"/>
    <w:aliases w:val="heading 22"/>
    <w:next w:val="Normal"/>
    <w:qFormat/>
    <w:rsid w:val="00B31FBC"/>
    <w:pPr>
      <w:spacing w:after="200" w:line="360" w:lineRule="auto"/>
      <w:jc w:val="both"/>
    </w:pPr>
    <w:rPr>
      <w:rFonts w:ascii="Arial" w:hAnsi="Arial"/>
      <w:sz w:val="22"/>
      <w:szCs w:val="22"/>
      <w:lang w:val="en-GB" w:eastAsia="en-US"/>
    </w:rPr>
  </w:style>
  <w:style w:type="table" w:styleId="ColorfulList-Accent5">
    <w:name w:val="Colorful List Accent 5"/>
    <w:basedOn w:val="TableNormal"/>
    <w:uiPriority w:val="72"/>
    <w:rsid w:val="005D06C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C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456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530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AC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AC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2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0BA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2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BA"/>
    <w:rPr>
      <w:rFonts w:ascii="Arial" w:hAnsi="Arial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C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CB0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7C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C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CB0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C7C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A4D35-F2B2-4CDE-A299-4DE1F6E7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5673</Words>
  <Characters>32338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Rolfe</dc:creator>
  <cp:lastModifiedBy>Rebecca Rolfe</cp:lastModifiedBy>
  <cp:revision>2</cp:revision>
  <cp:lastPrinted>2013-03-15T16:51:00Z</cp:lastPrinted>
  <dcterms:created xsi:type="dcterms:W3CDTF">2013-06-07T15:08:00Z</dcterms:created>
  <dcterms:modified xsi:type="dcterms:W3CDTF">2013-06-07T15:08:00Z</dcterms:modified>
</cp:coreProperties>
</file>